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44"/>
          <w:szCs w:val="44"/>
          <w:lang w:val="en-US" w:eastAsia="zh-CN" w:bidi="ar-SA"/>
        </w:rPr>
      </w:pPr>
      <w:r>
        <w:rPr>
          <w:rFonts w:hint="eastAsia" w:ascii="仿宋_GB2312" w:hAnsi="仿宋_GB2312" w:eastAsia="仿宋_GB2312" w:cs="仿宋_GB2312"/>
          <w:color w:val="auto"/>
          <w:kern w:val="2"/>
          <w:sz w:val="44"/>
          <w:szCs w:val="44"/>
          <w:lang w:val="en-US" w:eastAsia="zh-CN" w:bidi="ar-SA"/>
        </w:rPr>
        <w:t>三 台 县 中 医 院</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52"/>
          <w:szCs w:val="52"/>
          <w:lang w:val="en-US" w:eastAsia="zh-CN" w:bidi="ar-SA"/>
        </w:rPr>
      </w:pPr>
      <w:r>
        <w:rPr>
          <w:rFonts w:hint="eastAsia" w:ascii="仿宋_GB2312" w:hAnsi="仿宋_GB2312" w:eastAsia="仿宋_GB2312" w:cs="仿宋_GB2312"/>
          <w:color w:val="auto"/>
          <w:kern w:val="2"/>
          <w:sz w:val="52"/>
          <w:szCs w:val="52"/>
          <w:lang w:val="en-US" w:eastAsia="zh-CN" w:bidi="ar-SA"/>
        </w:rPr>
        <w:t>DSA维保服务采购项目</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仿宋_GB2312" w:hAnsi="仿宋_GB2312" w:eastAsia="仿宋_GB2312" w:cs="仿宋_GB2312"/>
          <w:b/>
          <w:bCs/>
          <w:color w:val="auto"/>
          <w:kern w:val="2"/>
          <w:sz w:val="52"/>
          <w:szCs w:val="52"/>
          <w:lang w:val="en-US" w:eastAsia="zh-CN" w:bidi="ar-SA"/>
        </w:rPr>
      </w:pPr>
      <w:r>
        <w:rPr>
          <w:rFonts w:hint="eastAsia" w:ascii="仿宋_GB2312" w:hAnsi="仿宋_GB2312" w:eastAsia="仿宋_GB2312" w:cs="仿宋_GB2312"/>
          <w:b/>
          <w:bCs/>
          <w:color w:val="auto"/>
          <w:kern w:val="2"/>
          <w:sz w:val="52"/>
          <w:szCs w:val="52"/>
          <w:lang w:val="en-US" w:eastAsia="zh-CN" w:bidi="ar-SA"/>
        </w:rPr>
        <w:t>比</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仿宋_GB2312" w:hAnsi="仿宋_GB2312" w:eastAsia="仿宋_GB2312" w:cs="仿宋_GB2312"/>
          <w:b/>
          <w:bCs/>
          <w:color w:val="auto"/>
          <w:kern w:val="2"/>
          <w:sz w:val="52"/>
          <w:szCs w:val="52"/>
          <w:lang w:val="en-US" w:eastAsia="zh-CN" w:bidi="ar-SA"/>
        </w:rPr>
      </w:pPr>
      <w:r>
        <w:rPr>
          <w:rFonts w:hint="eastAsia" w:ascii="仿宋_GB2312" w:hAnsi="仿宋_GB2312" w:eastAsia="仿宋_GB2312" w:cs="仿宋_GB2312"/>
          <w:b/>
          <w:bCs/>
          <w:color w:val="auto"/>
          <w:kern w:val="2"/>
          <w:sz w:val="52"/>
          <w:szCs w:val="52"/>
          <w:lang w:val="en-US" w:eastAsia="zh-CN" w:bidi="ar-SA"/>
        </w:rPr>
        <w:t>选</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仿宋_GB2312" w:hAnsi="仿宋_GB2312" w:eastAsia="仿宋_GB2312" w:cs="仿宋_GB2312"/>
          <w:b/>
          <w:bCs/>
          <w:color w:val="auto"/>
          <w:kern w:val="2"/>
          <w:sz w:val="52"/>
          <w:szCs w:val="52"/>
          <w:lang w:val="en-US" w:eastAsia="zh-CN" w:bidi="ar-SA"/>
        </w:rPr>
      </w:pPr>
      <w:r>
        <w:rPr>
          <w:rFonts w:hint="eastAsia" w:ascii="仿宋_GB2312" w:hAnsi="仿宋_GB2312" w:eastAsia="仿宋_GB2312" w:cs="仿宋_GB2312"/>
          <w:b/>
          <w:bCs/>
          <w:color w:val="auto"/>
          <w:kern w:val="2"/>
          <w:sz w:val="52"/>
          <w:szCs w:val="52"/>
          <w:lang w:val="en-US" w:eastAsia="zh-CN" w:bidi="ar-SA"/>
        </w:rPr>
        <w:t>文</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仿宋_GB2312" w:hAnsi="仿宋_GB2312" w:eastAsia="仿宋_GB2312" w:cs="仿宋_GB2312"/>
          <w:b/>
          <w:bCs/>
          <w:color w:val="auto"/>
          <w:kern w:val="2"/>
          <w:sz w:val="52"/>
          <w:szCs w:val="52"/>
          <w:lang w:val="en-US" w:eastAsia="zh-CN" w:bidi="ar-SA"/>
        </w:rPr>
      </w:pPr>
      <w:r>
        <w:rPr>
          <w:rFonts w:hint="eastAsia" w:ascii="仿宋_GB2312" w:hAnsi="仿宋_GB2312" w:eastAsia="仿宋_GB2312" w:cs="仿宋_GB2312"/>
          <w:b/>
          <w:bCs/>
          <w:color w:val="auto"/>
          <w:kern w:val="2"/>
          <w:sz w:val="52"/>
          <w:szCs w:val="52"/>
          <w:lang w:val="en-US" w:eastAsia="zh-CN" w:bidi="ar-SA"/>
        </w:rPr>
        <w:t>件</w:t>
      </w:r>
    </w:p>
    <w:p>
      <w:pPr>
        <w:pStyle w:val="2"/>
        <w:keepNext w:val="0"/>
        <w:keepLines w:val="0"/>
        <w:pageBreakBefore w:val="0"/>
        <w:widowControl w:val="0"/>
        <w:kinsoku/>
        <w:wordWrap/>
        <w:overflowPunct/>
        <w:topLinePunct w:val="0"/>
        <w:autoSpaceDE/>
        <w:autoSpaceDN/>
        <w:bidi w:val="0"/>
        <w:adjustRightInd/>
        <w:spacing w:line="660" w:lineRule="exact"/>
        <w:textAlignment w:val="auto"/>
        <w:rPr>
          <w:rFonts w:hint="eastAsia" w:ascii="仿宋_GB2312" w:hAnsi="仿宋_GB2312" w:eastAsia="仿宋_GB2312" w:cs="仿宋_GB2312"/>
          <w:b/>
          <w:bCs/>
          <w:color w:val="auto"/>
          <w:kern w:val="2"/>
          <w:sz w:val="52"/>
          <w:szCs w:val="5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kern w:val="2"/>
          <w:sz w:val="52"/>
          <w:szCs w:val="5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color w:val="auto"/>
          <w:kern w:val="2"/>
          <w:sz w:val="44"/>
          <w:szCs w:val="44"/>
          <w:lang w:val="en-US" w:eastAsia="zh-CN" w:bidi="ar-SA"/>
        </w:rPr>
      </w:pPr>
      <w:r>
        <w:rPr>
          <w:rFonts w:hint="eastAsia" w:ascii="仿宋_GB2312" w:hAnsi="仿宋_GB2312" w:eastAsia="仿宋_GB2312" w:cs="仿宋_GB2312"/>
          <w:color w:val="auto"/>
          <w:kern w:val="2"/>
          <w:sz w:val="44"/>
          <w:szCs w:val="44"/>
          <w:lang w:val="en-US" w:eastAsia="zh-CN" w:bidi="ar-SA"/>
        </w:rPr>
        <w:t>2023年12月</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kern w:val="2"/>
          <w:sz w:val="44"/>
          <w:szCs w:val="44"/>
          <w:lang w:val="en-US" w:eastAsia="zh-CN" w:bidi="ar-SA"/>
        </w:rPr>
      </w:pPr>
    </w:p>
    <w:p>
      <w:pPr>
        <w:pStyle w:val="2"/>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28"/>
          <w:szCs w:val="28"/>
          <w:lang w:val="en-US" w:eastAsia="zh-CN" w:bidi="ar-SA"/>
        </w:rPr>
      </w:pPr>
    </w:p>
    <w:p>
      <w:pPr>
        <w:pStyle w:val="2"/>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br w:type="page"/>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项目预算：5万元/年，合作期限1年。</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服务内容及要求</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（一）维保类型：</w:t>
      </w:r>
      <w:r>
        <w:rPr>
          <w:rFonts w:hint="eastAsia" w:ascii="仿宋_GB2312" w:hAnsi="仿宋_GB2312" w:eastAsia="仿宋_GB2312" w:cs="仿宋_GB2312"/>
          <w:sz w:val="28"/>
          <w:szCs w:val="28"/>
          <w:lang w:val="en-US" w:eastAsia="zh-CN"/>
        </w:rPr>
        <w:t>技术保修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不限次的人工服务及设备整机保养（不含配件</w:t>
      </w:r>
      <w:r>
        <w:rPr>
          <w:rFonts w:hint="eastAsia" w:ascii="仿宋_GB2312" w:hAnsi="仿宋_GB2312" w:eastAsia="仿宋_GB2312" w:cs="仿宋_GB2312"/>
          <w:sz w:val="28"/>
          <w:szCs w:val="28"/>
        </w:rPr>
        <w:t>）</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）设备基本情况：品牌:飞利浦，型号：</w:t>
      </w:r>
      <w:r>
        <w:rPr>
          <w:rFonts w:hint="eastAsia" w:ascii="仿宋_GB2312" w:hAnsi="仿宋_GB2312" w:eastAsia="仿宋_GB2312" w:cs="仿宋_GB2312"/>
          <w:sz w:val="28"/>
          <w:szCs w:val="28"/>
          <w:lang w:val="en-US" w:eastAsia="zh-CN"/>
        </w:rPr>
        <w:t>AZURION 7M20，2022年7月投入使用。</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（三）服务内容</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★1、提供24小时× 365 天</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400</w:t>
      </w:r>
      <w:r>
        <w:rPr>
          <w:rFonts w:hint="eastAsia" w:ascii="仿宋_GB2312" w:hAnsi="仿宋_GB2312" w:eastAsia="仿宋_GB2312" w:cs="仿宋_GB2312"/>
          <w:sz w:val="28"/>
          <w:szCs w:val="28"/>
          <w:lang w:val="en-US" w:eastAsia="zh-CN"/>
        </w:rPr>
        <w:t>或800</w:t>
      </w:r>
      <w:r>
        <w:rPr>
          <w:rFonts w:hint="eastAsia" w:ascii="仿宋_GB2312" w:hAnsi="仿宋_GB2312" w:eastAsia="仿宋_GB2312" w:cs="仿宋_GB2312"/>
          <w:sz w:val="28"/>
          <w:szCs w:val="28"/>
        </w:rPr>
        <w:t>服务热线支持服务，维保响应时间：电话响应≤1小时、现场响应≤12小时；周一至周日；确保设备开机率≥95%。</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★2、提供工程师的</w:t>
      </w:r>
      <w:r>
        <w:rPr>
          <w:rFonts w:hint="eastAsia" w:ascii="仿宋_GB2312" w:hAnsi="仿宋_GB2312" w:eastAsia="仿宋_GB2312" w:cs="仿宋_GB2312"/>
          <w:sz w:val="28"/>
          <w:szCs w:val="28"/>
          <w:lang w:val="en-US" w:eastAsia="zh-CN"/>
        </w:rPr>
        <w:t>原厂培训证书</w:t>
      </w:r>
      <w:r>
        <w:rPr>
          <w:rFonts w:hint="eastAsia" w:ascii="仿宋_GB2312" w:hAnsi="仿宋_GB2312" w:eastAsia="仿宋_GB2312" w:cs="仿宋_GB2312"/>
          <w:sz w:val="28"/>
          <w:szCs w:val="28"/>
        </w:rPr>
        <w:t>；</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★3、维保服务所涉及的人工费用、保养费（包括但不限于不限次数的派工和设备维保中的人工、差旅费、保养耗材费、配件）；</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★4、每年提供不限次数的人工上门维修服务；提供一年4次的定期维护与保养，并提供维修、保养报告单等，记录随时可查</w:t>
      </w:r>
      <w:r>
        <w:rPr>
          <w:rFonts w:hint="eastAsia" w:ascii="仿宋_GB2312" w:hAnsi="仿宋_GB2312" w:eastAsia="仿宋_GB2312" w:cs="仿宋_GB2312"/>
          <w:sz w:val="28"/>
          <w:szCs w:val="28"/>
          <w:lang w:eastAsia="zh-CN"/>
        </w:rPr>
        <w:t>：</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合同期内，对院方指定的一名工程师（技术人员）提供一次院内</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院外的DSA维修技术培训</w:t>
      </w:r>
      <w:r>
        <w:rPr>
          <w:rFonts w:hint="eastAsia" w:ascii="仿宋_GB2312" w:hAnsi="仿宋_GB2312" w:eastAsia="仿宋_GB2312" w:cs="仿宋_GB2312"/>
          <w:sz w:val="28"/>
          <w:szCs w:val="28"/>
          <w:lang w:eastAsia="zh-CN"/>
        </w:rPr>
        <w:t>；</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监测预警系统，</w:t>
      </w:r>
      <w:r>
        <w:rPr>
          <w:rFonts w:hint="eastAsia" w:ascii="仿宋_GB2312" w:hAnsi="仿宋_GB2312" w:eastAsia="仿宋_GB2312" w:cs="仿宋_GB2312"/>
          <w:sz w:val="28"/>
          <w:szCs w:val="28"/>
          <w:lang w:val="en-US" w:eastAsia="zh-CN"/>
        </w:rPr>
        <w:t>保证</w:t>
      </w:r>
      <w:r>
        <w:rPr>
          <w:rFonts w:hint="eastAsia" w:ascii="仿宋_GB2312" w:hAnsi="仿宋_GB2312" w:eastAsia="仿宋_GB2312" w:cs="仿宋_GB2312"/>
          <w:sz w:val="28"/>
          <w:szCs w:val="28"/>
        </w:rPr>
        <w:t>设备24小时的远程诊断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使之</w:t>
      </w:r>
      <w:r>
        <w:rPr>
          <w:rFonts w:hint="eastAsia" w:ascii="仿宋_GB2312" w:hAnsi="仿宋_GB2312" w:eastAsia="仿宋_GB2312" w:cs="仿宋_GB2312"/>
          <w:sz w:val="28"/>
          <w:szCs w:val="28"/>
        </w:rPr>
        <w:t>具备包括但不限于：可以桌面实时监测</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温度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湿度等</w:t>
      </w:r>
      <w:r>
        <w:rPr>
          <w:rFonts w:hint="eastAsia" w:ascii="仿宋_GB2312" w:hAnsi="仿宋_GB2312" w:eastAsia="仿宋_GB2312" w:cs="仿宋_GB2312"/>
          <w:sz w:val="28"/>
          <w:szCs w:val="28"/>
        </w:rPr>
        <w:t>；（提供相关证明材料）</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7、安全检查：按照设备厂家标准及相关规定执行，包括但不限于：制定检查计划、机械安全检查、电气安全检查、记录检查结果；</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8、质量保证：服务商保证设备维护达到符合相应的国家质量标准要求，按三甲公立医院绩效考核指标相关条款解读内容做好设备质控。</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9、每年底维保公司必须安排专人把派工记录及保养、维修报告均按年度汇总成册后提交我院；</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10、中标公司应保证在中标后签订合同之前机器故障的维修，保证机器正常使用。</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11、优先提供配件供应（配件等待时间国内供货≤3天，国外供货≤7天），更换配件为原厂配件；</w:t>
      </w:r>
      <w:r>
        <w:rPr>
          <w:rFonts w:hint="eastAsia" w:ascii="仿宋_GB2312" w:hAnsi="仿宋_GB2312" w:eastAsia="仿宋_GB2312" w:cs="仿宋_GB2312"/>
          <w:sz w:val="28"/>
          <w:szCs w:val="28"/>
          <w:lang w:val="en-US" w:eastAsia="zh-CN"/>
        </w:rPr>
        <w:t>配件的采购方式由采购人确定。</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、投标人在维保时引发设备其他新故障时，由投标人负责自行解决故障及配件，全部费用由投标人支付；</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、维保期间，保养、维修、升级等工作时</w:t>
      </w:r>
      <w:bookmarkStart w:id="2" w:name="_GoBack"/>
      <w:bookmarkEnd w:id="2"/>
      <w:r>
        <w:rPr>
          <w:rFonts w:hint="eastAsia" w:ascii="仿宋_GB2312" w:hAnsi="仿宋_GB2312" w:eastAsia="仿宋_GB2312" w:cs="仿宋_GB2312"/>
          <w:sz w:val="28"/>
          <w:szCs w:val="28"/>
        </w:rPr>
        <w:t>间包含周末和其他非标准工作时间，若有产品升级一般在周末或非工作时间进行；</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本项目是对DSA全周期、全方位维修与保养服务，在此期间所有风险（如</w:t>
      </w:r>
      <w:r>
        <w:rPr>
          <w:rFonts w:hint="eastAsia" w:ascii="仿宋_GB2312" w:hAnsi="仿宋_GB2312" w:eastAsia="仿宋_GB2312" w:cs="仿宋_GB2312"/>
          <w:sz w:val="28"/>
          <w:szCs w:val="28"/>
          <w:lang w:val="en-US" w:eastAsia="zh-CN"/>
        </w:rPr>
        <w:t>工具</w:t>
      </w:r>
      <w:r>
        <w:rPr>
          <w:rFonts w:hint="eastAsia" w:ascii="仿宋_GB2312" w:hAnsi="仿宋_GB2312" w:eastAsia="仿宋_GB2312" w:cs="仿宋_GB2312"/>
          <w:sz w:val="28"/>
          <w:szCs w:val="28"/>
        </w:rPr>
        <w:t>、人工、意外伤害等）及费用均由投标方承但，与招标方无关。投标人必须就项目内容中所有加★的条款做出响应并出具承诺函，未做响应或未提供承诺函的可能被视为无效投标。</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★三、商务要求（实质性要求）</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（一）维保年限：</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年，根据上一年度合同执行情况确定是否续签。</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（二）维保地点：</w:t>
      </w:r>
      <w:r>
        <w:rPr>
          <w:rFonts w:hint="eastAsia" w:ascii="仿宋_GB2312" w:hAnsi="仿宋_GB2312" w:eastAsia="仿宋_GB2312" w:cs="仿宋_GB2312"/>
          <w:sz w:val="28"/>
          <w:szCs w:val="28"/>
          <w:lang w:val="en-US" w:eastAsia="zh-CN"/>
        </w:rPr>
        <w:t>三台县中医院</w:t>
      </w:r>
      <w:r>
        <w:rPr>
          <w:rFonts w:hint="eastAsia" w:ascii="仿宋_GB2312" w:hAnsi="仿宋_GB2312" w:eastAsia="仿宋_GB2312" w:cs="仿宋_GB2312"/>
          <w:sz w:val="28"/>
          <w:szCs w:val="28"/>
        </w:rPr>
        <w:t>。</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（三）付款方式： </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val="en-US" w:eastAsia="zh-CN"/>
        </w:rPr>
        <w:t>生效六个月后支付合同金额的50%，服务完成完成后支付剩余的50%。</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（四）开机率：≥95%(按一年365天计算)，服务天数不少于347天。</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（五）违约责任</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1.如中标人在履约过程中违反合同约定的维修义务，每停机延误1天，则全保期限相应顺延5天，若因延误维修给采购人造成损失的，采购人有权要求中标人在顺延全保期限的基础上赔偿采购人相应的损失。</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2.如中标人未按合同约定保养的，每发生一次违约情况，按年度维修保养费的15%向采购人支付违约金。</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3.若中标人逾期履行维修保养义务的，采购人有权自行委托第三方维修保养，产生的费用及法律责任由中标人承担。</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若因中标人原因造成设备损坏的，除中标人应修复损坏的设备外，采购人有权拒绝支付剩余的服务费用。</w:t>
      </w:r>
      <w:r>
        <w:rPr>
          <w:rFonts w:hint="eastAsia" w:ascii="仿宋_GB2312" w:hAnsi="仿宋_GB2312" w:eastAsia="仿宋_GB2312" w:cs="仿宋_GB2312"/>
          <w:sz w:val="28"/>
          <w:szCs w:val="28"/>
        </w:rPr>
        <w:t>中标人违反本项目其他约定，中标人向采购人承担损失赔偿责任。</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5.采购人有权在应支付给中标人的款项中，优先扣除中标人按照本合同应支付的违约金及损失赔偿费用。</w:t>
      </w:r>
    </w:p>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三、供应商应提供：</w:t>
      </w:r>
    </w:p>
    <w:p>
      <w:pPr>
        <w:keepNext w:val="0"/>
        <w:keepLines w:val="0"/>
        <w:pageBreakBefore w:val="0"/>
        <w:widowControl w:val="0"/>
        <w:kinsoku/>
        <w:wordWrap/>
        <w:overflowPunct/>
        <w:topLinePunct w:val="0"/>
        <w:autoSpaceDE/>
        <w:autoSpaceDN/>
        <w:bidi w:val="0"/>
        <w:adjustRightInd/>
        <w:spacing w:line="400" w:lineRule="exact"/>
        <w:ind w:firstLine="548" w:firstLineChars="196"/>
        <w:textAlignment w:val="auto"/>
        <w:rPr>
          <w:rFonts w:hint="eastAsia" w:ascii="仿宋_GB2312" w:hAnsi="仿宋_GB2312" w:eastAsia="仿宋_GB2312" w:cs="仿宋_GB2312"/>
          <w:kern w:val="0"/>
          <w:sz w:val="28"/>
          <w:szCs w:val="28"/>
          <w:lang w:val="en-US" w:eastAsia="zh-Hans"/>
        </w:rPr>
      </w:pPr>
      <w:bookmarkStart w:id="0" w:name="_Toc11854_WPSOffice_Level2"/>
      <w:bookmarkStart w:id="1" w:name="_Toc19361_WPSOffice_Level2"/>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kern w:val="0"/>
          <w:sz w:val="28"/>
          <w:szCs w:val="28"/>
          <w:lang w:val="en-US" w:eastAsia="zh-Hans"/>
        </w:rPr>
        <w:t>供应商应提交的资格证明材料</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Hans"/>
        </w:rPr>
      </w:pPr>
      <w:r>
        <w:rPr>
          <w:rFonts w:hint="eastAsia" w:ascii="仿宋_GB2312" w:hAnsi="仿宋_GB2312" w:eastAsia="仿宋_GB2312" w:cs="仿宋_GB2312"/>
          <w:kern w:val="0"/>
          <w:sz w:val="28"/>
          <w:szCs w:val="28"/>
          <w:lang w:val="en-US" w:eastAsia="zh-Hans"/>
        </w:rPr>
        <w:t>1.有效的营业执照副本复印件（企业法人：提供“统一社会信用代码营业执照副本”；事业法人：提供“统一社会信用代码法人登记证书副本”；其他组织：提供“统一社会信用代码社会团体法人登记证书副本”或“统一社会信用代码民办非企业单位登记证书副本”或“统一社会信用代码基金会法人登记证书副本”；个体工商户：提供“统一社会信用代码营业执照副本” 或“营业执照、税务登记证”。（均为复印件））；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2.法定代表人身份证明书原件及法定代表人身份证复印件；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3.法定代表人授权书原件及授权代表身份证复印件（法人亲自参加的则不提供）；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具有良好的商业信誉的书面承诺函原件（投标人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5.提供无行贿犯罪记录承诺函原件；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zh-CN"/>
        </w:rPr>
        <w:t>提供</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zh-CN"/>
        </w:rPr>
        <w:t>财务报告复印件</w:t>
      </w:r>
      <w:r>
        <w:rPr>
          <w:rFonts w:hint="eastAsia" w:ascii="仿宋_GB2312" w:hAnsi="仿宋_GB2312" w:eastAsia="仿宋_GB2312" w:cs="仿宋_GB2312"/>
          <w:color w:val="auto"/>
          <w:sz w:val="28"/>
          <w:szCs w:val="28"/>
        </w:rPr>
        <w:t>或提供具有健全的财务会计制度承诺函原件；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7.投标人提供202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年至今任意</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个月的缴纳税收</w:t>
      </w:r>
      <w:r>
        <w:rPr>
          <w:rFonts w:hint="eastAsia" w:ascii="仿宋_GB2312" w:hAnsi="仿宋_GB2312" w:eastAsia="仿宋_GB2312" w:cs="仿宋_GB2312"/>
          <w:color w:val="auto"/>
          <w:sz w:val="28"/>
          <w:szCs w:val="28"/>
          <w:lang w:val="en-US" w:eastAsia="zh-CN"/>
        </w:rPr>
        <w:t>和社保</w:t>
      </w:r>
      <w:r>
        <w:rPr>
          <w:rFonts w:hint="eastAsia" w:ascii="仿宋_GB2312" w:hAnsi="仿宋_GB2312" w:eastAsia="仿宋_GB2312" w:cs="仿宋_GB2312"/>
          <w:color w:val="auto"/>
          <w:sz w:val="28"/>
          <w:szCs w:val="28"/>
        </w:rPr>
        <w:t>的证明材料复印件</w:t>
      </w:r>
      <w:r>
        <w:rPr>
          <w:rFonts w:hint="eastAsia" w:ascii="仿宋_GB2312" w:hAnsi="仿宋_GB2312" w:eastAsia="仿宋_GB2312" w:cs="仿宋_GB2312"/>
          <w:color w:val="auto"/>
          <w:sz w:val="28"/>
          <w:szCs w:val="28"/>
          <w:lang w:val="zh-CN"/>
        </w:rPr>
        <w:t>或</w:t>
      </w:r>
      <w:r>
        <w:rPr>
          <w:rFonts w:hint="eastAsia" w:ascii="仿宋_GB2312" w:hAnsi="仿宋_GB2312" w:eastAsia="仿宋_GB2312" w:cs="仿宋_GB2312"/>
          <w:color w:val="auto"/>
          <w:sz w:val="28"/>
          <w:szCs w:val="28"/>
        </w:rPr>
        <w:t>书面</w:t>
      </w:r>
      <w:r>
        <w:rPr>
          <w:rFonts w:hint="eastAsia" w:ascii="仿宋_GB2312" w:hAnsi="仿宋_GB2312" w:eastAsia="仿宋_GB2312" w:cs="仿宋_GB2312"/>
          <w:color w:val="auto"/>
          <w:sz w:val="28"/>
          <w:szCs w:val="28"/>
          <w:lang w:val="zh-CN"/>
        </w:rPr>
        <w:t>承诺函原件；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注：以上材料承诺函格式均自拟，但必须表述清楚并加盖投标人鲜章。</w:t>
      </w:r>
    </w:p>
    <w:p>
      <w:pPr>
        <w:keepNext w:val="0"/>
        <w:keepLines w:val="0"/>
        <w:pageBreakBefore w:val="0"/>
        <w:widowControl w:val="0"/>
        <w:numPr>
          <w:ilvl w:val="0"/>
          <w:numId w:val="2"/>
        </w:numPr>
        <w:kinsoku/>
        <w:wordWrap/>
        <w:overflowPunct/>
        <w:topLinePunct w:val="0"/>
        <w:autoSpaceDE/>
        <w:autoSpaceDN/>
        <w:bidi w:val="0"/>
        <w:adjustRightInd/>
        <w:spacing w:line="400" w:lineRule="exact"/>
        <w:ind w:left="10" w:leftChars="0" w:firstLine="408" w:firstLineChars="146"/>
        <w:textAlignment w:val="auto"/>
        <w:rPr>
          <w:rFonts w:hint="eastAsia" w:ascii="仿宋_GB2312" w:hAnsi="仿宋_GB2312" w:eastAsia="仿宋_GB2312" w:cs="仿宋_GB2312"/>
          <w:kern w:val="0"/>
          <w:sz w:val="28"/>
          <w:szCs w:val="28"/>
          <w:u w:val="none"/>
          <w:lang w:val="en-US" w:eastAsia="zh-CN"/>
        </w:rPr>
      </w:pPr>
      <w:r>
        <w:rPr>
          <w:rFonts w:hint="eastAsia" w:ascii="仿宋_GB2312" w:hAnsi="仿宋_GB2312" w:eastAsia="仿宋_GB2312" w:cs="仿宋_GB2312"/>
          <w:sz w:val="28"/>
          <w:szCs w:val="28"/>
          <w:lang w:val="en-US" w:eastAsia="zh-CN"/>
        </w:rPr>
        <w:t>完全满足“服务内容及要求”中的带</w:t>
      </w:r>
      <w:r>
        <w:rPr>
          <w:rFonts w:hint="eastAsia" w:ascii="仿宋_GB2312" w:hAnsi="仿宋_GB2312" w:eastAsia="仿宋_GB2312" w:cs="仿宋_GB2312"/>
          <w:kern w:val="0"/>
          <w:sz w:val="28"/>
          <w:szCs w:val="28"/>
          <w:u w:val="none"/>
          <w:lang w:eastAsia="zh-CN"/>
        </w:rPr>
        <w:t>★</w:t>
      </w:r>
      <w:r>
        <w:rPr>
          <w:rFonts w:hint="eastAsia" w:ascii="仿宋_GB2312" w:hAnsi="仿宋_GB2312" w:eastAsia="仿宋_GB2312" w:cs="仿宋_GB2312"/>
          <w:kern w:val="0"/>
          <w:sz w:val="28"/>
          <w:szCs w:val="28"/>
          <w:u w:val="none"/>
          <w:lang w:val="en-US" w:eastAsia="zh-CN"/>
        </w:rPr>
        <w:t>条款的内容，提供承诺函，格式自拟。</w:t>
      </w:r>
    </w:p>
    <w:p>
      <w:pPr>
        <w:pStyle w:val="2"/>
        <w:keepNext w:val="0"/>
        <w:keepLines w:val="0"/>
        <w:pageBreakBefore w:val="0"/>
        <w:widowControl w:val="0"/>
        <w:numPr>
          <w:ilvl w:val="0"/>
          <w:numId w:val="2"/>
        </w:numPr>
        <w:kinsoku/>
        <w:wordWrap/>
        <w:overflowPunct/>
        <w:topLinePunct w:val="0"/>
        <w:autoSpaceDE/>
        <w:autoSpaceDN/>
        <w:bidi w:val="0"/>
        <w:adjustRightInd/>
        <w:spacing w:line="400" w:lineRule="exact"/>
        <w:ind w:left="0" w:leftChars="0"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报价函。按照采购要求，供应商做出报价函，格式自拟。报价超过预算价为无效报价。</w:t>
      </w:r>
    </w:p>
    <w:p>
      <w:pPr>
        <w:pStyle w:val="2"/>
        <w:keepNext w:val="0"/>
        <w:keepLines w:val="0"/>
        <w:pageBreakBefore w:val="0"/>
        <w:widowControl w:val="0"/>
        <w:numPr>
          <w:ilvl w:val="0"/>
          <w:numId w:val="2"/>
        </w:numPr>
        <w:kinsoku/>
        <w:wordWrap/>
        <w:overflowPunct/>
        <w:topLinePunct w:val="0"/>
        <w:autoSpaceDE/>
        <w:autoSpaceDN/>
        <w:bidi w:val="0"/>
        <w:adjustRightInd/>
        <w:spacing w:line="400" w:lineRule="exact"/>
        <w:ind w:left="10" w:leftChars="0" w:firstLine="408" w:firstLineChars="14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提供评分明细表中要求的资料。</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22"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四、比选时间：</w:t>
      </w:r>
      <w:r>
        <w:rPr>
          <w:rFonts w:hint="eastAsia" w:ascii="仿宋_GB2312" w:hAnsi="仿宋_GB2312" w:eastAsia="仿宋_GB2312" w:cs="仿宋_GB2312"/>
          <w:sz w:val="28"/>
          <w:szCs w:val="28"/>
          <w:lang w:val="en-US" w:eastAsia="zh-CN"/>
        </w:rPr>
        <w:t>2023年12月15日14时50分（北京时间）。</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22"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五、资料要求</w:t>
      </w:r>
      <w:r>
        <w:rPr>
          <w:rFonts w:hint="eastAsia" w:ascii="仿宋_GB2312" w:hAnsi="仿宋_GB2312" w:eastAsia="仿宋_GB2312" w:cs="仿宋_GB2312"/>
          <w:sz w:val="28"/>
          <w:szCs w:val="28"/>
          <w:lang w:val="en-US" w:eastAsia="zh-CN"/>
        </w:rPr>
        <w:t>：响应文件一式两份，一正一副。未按要求准备视为无效响应。</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为节约供应商支出，本项目接受采用邮寄方式提交响应文件。但采用邮寄方式的供应商须计划好时间，以保证在2023年12月15日14时50分（北京时间）前送达，且须在快递外包装上注明：</w:t>
      </w:r>
      <w:r>
        <w:rPr>
          <w:rFonts w:hint="eastAsia" w:ascii="仿宋_GB2312" w:hAnsi="仿宋_GB2312" w:eastAsia="仿宋_GB2312" w:cs="仿宋_GB2312"/>
          <w:b/>
          <w:bCs/>
          <w:color w:val="auto"/>
          <w:sz w:val="28"/>
          <w:szCs w:val="28"/>
          <w:lang w:val="en-US" w:eastAsia="zh-CN"/>
        </w:rPr>
        <w:t>DSA维保服务</w:t>
      </w:r>
      <w:r>
        <w:rPr>
          <w:rFonts w:hint="eastAsia" w:ascii="仿宋_GB2312" w:hAnsi="仿宋_GB2312" w:eastAsia="仿宋_GB2312" w:cs="仿宋_GB2312"/>
          <w:sz w:val="28"/>
          <w:szCs w:val="28"/>
          <w:lang w:val="en-US" w:eastAsia="zh-CN"/>
        </w:rPr>
        <w:t>。如因快递未按时送达，采购人不负责任。</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20" w:firstLineChars="1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邮寄地址：绵阳市三台县潼川镇学街31号  三台县中医院采购科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杨老师 13989277675</w:t>
      </w:r>
    </w:p>
    <w:p>
      <w:pPr>
        <w:pStyle w:val="2"/>
        <w:keepNext w:val="0"/>
        <w:keepLines w:val="0"/>
        <w:pageBreakBefore w:val="0"/>
        <w:widowControl w:val="0"/>
        <w:numPr>
          <w:ilvl w:val="0"/>
          <w:numId w:val="0"/>
        </w:numPr>
        <w:tabs>
          <w:tab w:val="left" w:pos="630"/>
        </w:tabs>
        <w:kinsoku/>
        <w:wordWrap/>
        <w:overflowPunct/>
        <w:topLinePunct w:val="0"/>
        <w:autoSpaceDE/>
        <w:autoSpaceDN/>
        <w:bidi w:val="0"/>
        <w:adjustRightInd/>
        <w:spacing w:line="400" w:lineRule="exact"/>
        <w:ind w:left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六、本项目不发放成交（中标）通知书，比选结果以三台县中医院官网上关于本项目的结果公告为准。</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七、</w:t>
      </w:r>
      <w:r>
        <w:rPr>
          <w:rFonts w:hint="eastAsia" w:ascii="仿宋_GB2312" w:hAnsi="仿宋_GB2312" w:eastAsia="仿宋_GB2312" w:cs="仿宋_GB2312"/>
          <w:b/>
          <w:sz w:val="28"/>
          <w:szCs w:val="28"/>
        </w:rPr>
        <w:t>评分办法</w:t>
      </w:r>
    </w:p>
    <w:p>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本次评审采用综合评分法，由磋商小组采用综合评分法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对提交最后报价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未到现场的供应商将在纪检部门的监督下，采用电话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磋商的方式提供报价）</w:t>
      </w:r>
      <w:r>
        <w:rPr>
          <w:rFonts w:hint="eastAsia" w:ascii="仿宋_GB2312" w:hAnsi="仿宋_GB2312" w:eastAsia="仿宋_GB2312" w:cs="仿宋_GB2312"/>
          <w:sz w:val="28"/>
          <w:szCs w:val="28"/>
        </w:rPr>
        <w:t>供应商的响应文件和最后报价进行综合评分。综合评分法，是指响应文件满足磋商文件全部实质性要求且按评审因素的量化指标评审得分最高的供应商为成交候选供应商的评审方法。</w:t>
      </w:r>
    </w:p>
    <w:p>
      <w:pPr>
        <w:pStyle w:val="7"/>
        <w:keepNext w:val="0"/>
        <w:keepLines w:val="0"/>
        <w:pageBreakBefore w:val="0"/>
        <w:kinsoku/>
        <w:wordWrap/>
        <w:overflowPunct/>
        <w:topLinePunct w:val="0"/>
        <w:autoSpaceDE/>
        <w:autoSpaceDN/>
        <w:bidi w:val="0"/>
        <w:adjustRightInd/>
        <w:spacing w:line="400" w:lineRule="exact"/>
        <w:ind w:firstLine="480"/>
        <w:jc w:val="left"/>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评分标准</w:t>
      </w:r>
    </w:p>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8"/>
          <w:szCs w:val="28"/>
        </w:rPr>
      </w:pPr>
    </w:p>
    <w:tbl>
      <w:tblPr>
        <w:tblStyle w:val="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72"/>
        <w:gridCol w:w="3250"/>
        <w:gridCol w:w="863"/>
        <w:gridCol w:w="728"/>
        <w:gridCol w:w="1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5" w:hRule="atLeast"/>
          <w:jc w:val="center"/>
        </w:trPr>
        <w:tc>
          <w:tcPr>
            <w:tcW w:w="2103" w:type="dxa"/>
            <w:gridSpan w:val="2"/>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评审因素</w:t>
            </w:r>
          </w:p>
        </w:tc>
        <w:tc>
          <w:tcPr>
            <w:tcW w:w="6204" w:type="dxa"/>
            <w:gridSpan w:val="4"/>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03" w:type="dxa"/>
            <w:gridSpan w:val="2"/>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分值构成</w:t>
            </w:r>
          </w:p>
        </w:tc>
        <w:tc>
          <w:tcPr>
            <w:tcW w:w="6204" w:type="dxa"/>
            <w:gridSpan w:val="4"/>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详细评审80.00分</w:t>
            </w:r>
          </w:p>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报价得分20.00分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评审因素分类</w:t>
            </w: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评审项</w:t>
            </w:r>
          </w:p>
        </w:tc>
        <w:tc>
          <w:tcPr>
            <w:tcW w:w="3250"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详细描述</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客观/主观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restart"/>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w:t>
            </w:r>
          </w:p>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w:t>
            </w:r>
          </w:p>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w:t>
            </w:r>
          </w:p>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w:t>
            </w: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技术服务要求</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服务要求带★号的参数为实质性要求，进行符合性审查，不进行打分。  非★号条款共9条，每有一条不满足扣2分。</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服务内容及服务邀请应答表</w:t>
            </w:r>
          </w:p>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服务方案</w:t>
            </w:r>
          </w:p>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服务方案</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提供切实可行的服务方案（包括： ①服务团队配置及职责分工（含服务人员数量、服务人员经验、服务人员资质、服务人员管理等）；②项目日常管理方案；③巡检维保计划；④工具及零配件配备情况；⑤质量保障措施;⑥项目安全管理措施；⑦培训方案等）。方案可行、完整、科学的计14分； 每缺少一项扣 2 分， 每有一项存在缺陷（缺陷是指不适用于本项目、 凭空编造、 存在逻辑漏洞、 科学原理错误、 不可能实现的夸大情形或违反国家法律法规、 政府采购政策和有关规定等情形）扣1分，扣完为止。</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应急响应</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切实可行的应急响应方案，包含但不限于①维保应急情况分析；②维保应急措施；③应急响应及处理流程；④应急人员配置；⑤应急设备的供应等，以上内容完全满足招标文件要求（包括应急方案及时效保证措施）等。方案可行、完整、科学的计15分；每缺少一项扣 3分， 每有一项存在缺陷（缺陷是指不适用于本项目、 凭空编造、 存在逻辑漏洞、 科学原理错误、 不可能实现的夸大情形或违反国家法律法规、 政府采购政策和有关规定等情形）扣1.5分，扣完为止。</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服务方案</w:t>
            </w:r>
          </w:p>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人员配备</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投标人配备的维修工程师具备有医用放射影像工程师职称，每提供一名人员证书计3分，最高计6分。（注：需提供证书复印件以及该工程师在本公司近3个月社保缴费证明并加盖公章，否则不计分）</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p>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综合实力</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1、投标人具有ISO13485质量管理体系认证及ISO9001质量管理体系认证证书，每提供一个计2分，最高计4分。 2、投标人具有医疗器械维保服务所涉及的环境管理体系及职业健康安全管理体系认证证书，每提供一个计2分，最高计4分。 3、投标人在医疗器械售后服务星级评价中获得五星评价认证证书的，计2分；在医疗器械售后服务星级评价中获得四星评价认证证书的，计1分。 （注：提供以上相关证书复印件并加盖公章，证书在全国认证认可信息公共服务平台上http://cx.cnca.cn查询结果必须为“有效”，否则不计分。） 4、投标人具有设备维修管理能力，获得医疗（放射）设备维修安装企业认证证书或相关证书及荣誉证明等，计2分。 （注：提供中国设备管理协会认证材料/证书或相关佐证医疗设备维修管理能力的资料复印件等并加盖公章，否则不计分。） 5、国内设有专门的零备件仓库大于1000平方的，计3分；国内设有专门的零备件仓库小于1000平方，计1.5分。 （注：需提供租房合同/房产证明及仓库照片等资料并加盖公章，否则不计分。）</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szCs w:val="24"/>
              </w:rPr>
            </w:pP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类似业绩</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供应商自2020年1月1日以来承担过本项目标的的类似项目业绩，每提供一个得3分，本项满分12分。 （注：提供合同原件复印件并加盖公章，否则不计分。）</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价格分</w:t>
            </w:r>
          </w:p>
        </w:tc>
        <w:tc>
          <w:tcPr>
            <w:tcW w:w="1272"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价格分</w:t>
            </w:r>
          </w:p>
        </w:tc>
        <w:tc>
          <w:tcPr>
            <w:tcW w:w="3250" w:type="dxa"/>
          </w:tcPr>
          <w:p>
            <w:pPr>
              <w:pStyle w:val="7"/>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以各有效供应商最后报价的最低价作为评标基准价，供应商报价分值=20×（评标基准价/供应商报价）</w:t>
            </w:r>
          </w:p>
        </w:tc>
        <w:tc>
          <w:tcPr>
            <w:tcW w:w="8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w:t>
            </w:r>
          </w:p>
        </w:tc>
        <w:tc>
          <w:tcPr>
            <w:tcW w:w="728"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w:t>
            </w:r>
          </w:p>
        </w:tc>
        <w:tc>
          <w:tcPr>
            <w:tcW w:w="1363" w:type="dxa"/>
            <w:vAlign w:val="center"/>
          </w:tcPr>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报价表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精确到小数点后两位。</w:t>
            </w:r>
          </w:p>
          <w:p>
            <w:pPr>
              <w:pStyle w:val="7"/>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rPr>
            </w:pPr>
          </w:p>
        </w:tc>
      </w:tr>
    </w:tbl>
    <w:p>
      <w:pPr>
        <w:pStyle w:val="2"/>
        <w:keepNext w:val="0"/>
        <w:keepLines w:val="0"/>
        <w:pageBreakBefore w:val="0"/>
        <w:widowControl w:val="0"/>
        <w:numPr>
          <w:ilvl w:val="0"/>
          <w:numId w:val="0"/>
        </w:numPr>
        <w:tabs>
          <w:tab w:val="left" w:pos="630"/>
        </w:tabs>
        <w:kinsoku/>
        <w:wordWrap/>
        <w:overflowPunct/>
        <w:topLinePunct w:val="0"/>
        <w:autoSpaceDE/>
        <w:autoSpaceDN/>
        <w:bidi w:val="0"/>
        <w:adjustRightInd/>
        <w:spacing w:line="400" w:lineRule="exact"/>
        <w:ind w:leftChars="150"/>
        <w:textAlignment w:val="auto"/>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2FBA"/>
    <w:multiLevelType w:val="singleLevel"/>
    <w:tmpl w:val="EAFC2FBA"/>
    <w:lvl w:ilvl="0" w:tentative="0">
      <w:start w:val="1"/>
      <w:numFmt w:val="chineseCounting"/>
      <w:suff w:val="nothing"/>
      <w:lvlText w:val="%1、"/>
      <w:lvlJc w:val="left"/>
      <w:rPr>
        <w:rFonts w:hint="eastAsia"/>
      </w:rPr>
    </w:lvl>
  </w:abstractNum>
  <w:abstractNum w:abstractNumId="1">
    <w:nsid w:val="1B53AC13"/>
    <w:multiLevelType w:val="singleLevel"/>
    <w:tmpl w:val="1B53AC13"/>
    <w:lvl w:ilvl="0" w:tentative="0">
      <w:start w:val="2"/>
      <w:numFmt w:val="chineseCounting"/>
      <w:suff w:val="nothing"/>
      <w:lvlText w:val="（%1）"/>
      <w:lvlJc w:val="left"/>
      <w:pPr>
        <w:ind w:left="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s>
  <w:rsids>
    <w:rsidRoot w:val="21397D97"/>
    <w:rsid w:val="026C4CC6"/>
    <w:rsid w:val="137336B3"/>
    <w:rsid w:val="1A6458CB"/>
    <w:rsid w:val="21397D97"/>
    <w:rsid w:val="23394C70"/>
    <w:rsid w:val="27041967"/>
    <w:rsid w:val="337D6D27"/>
    <w:rsid w:val="3BE07711"/>
    <w:rsid w:val="3E4339B0"/>
    <w:rsid w:val="4A143040"/>
    <w:rsid w:val="522D00C1"/>
    <w:rsid w:val="76FD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Plain Text"/>
    <w:basedOn w:val="1"/>
    <w:next w:val="1"/>
    <w:qFormat/>
    <w:uiPriority w:val="0"/>
    <w:rPr>
      <w:rFonts w:ascii="宋体" w:hAnsi="Courier New"/>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3601</Words>
  <Characters>3779</Characters>
  <Lines>0</Lines>
  <Paragraphs>0</Paragraphs>
  <TotalTime>5</TotalTime>
  <ScaleCrop>false</ScaleCrop>
  <LinksUpToDate>false</LinksUpToDate>
  <CharactersWithSpaces>3823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2023-11-02T13:07:00Z</dcterms:created>
  <dc:creator>yang</dc:creator>
  <cp:lastModifiedBy>yang</cp:lastModifiedBy>
  <dcterms:modified xsi:type="dcterms:W3CDTF">2023-12-06T03:05:24Z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A55873D87E9E401198D8B71EB27DB0E5_11</vt:lpwstr>
  </property>
</Properties>
</file>