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360" w:lineRule="auto"/>
        <w:ind w:firstLine="880" w:firstLineChars="200"/>
        <w:jc w:val="center"/>
        <w:textAlignment w:val="baseline"/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Style w:val="9"/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三台县中医院关于环境检测服务的公示</w:t>
      </w:r>
    </w:p>
    <w:p>
      <w:pPr>
        <w:numPr>
          <w:ilvl w:val="0"/>
          <w:numId w:val="0"/>
        </w:numPr>
        <w:spacing w:line="360" w:lineRule="auto"/>
        <w:jc w:val="both"/>
        <w:textAlignment w:val="baseline"/>
        <w:rPr>
          <w:rStyle w:val="9"/>
          <w:rFonts w:hint="eastAsia" w:cs="宋体"/>
          <w:b/>
          <w:bCs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一、服务内容：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医院污水总排口废水：粪大肠菌群数、pH、色度、COD、BOD5、SS、阴离子表面活性剂、氨氮、石油类、动植物油、挥发酚、流量、总氰化物、总余氯、，肠道病毒、肠道致病菌，每季度1次，一年四次；志贺氏菌，半年1次，2次/年；每次采样3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2、污水总排口废水特定指标检测：、pH、COD、SS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，每周一次，一年52次，粪大肠菌群数，每月1次，1年12次；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3、无组织废气：硫化氢、温度、湿度，甲烷，氯气，氨，臭气浓度，每季度1次，4个样品/次，一年4次；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4、检测机构需按要求在医院人员的监督下现现场取样，无现场取样见证签字的报告视为无效报告。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sz w:val="32"/>
          <w:szCs w:val="32"/>
        </w:rPr>
        <w:t>检测机构负责完成网上填报全国排污许可证管理信息平台、四川省污染源监测信息管理与共享平台两个系统的相关数据；内容包括台账记录、执行报告、监测方案和监测数据等。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二、商务要求：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本项目预算费用3.2万元/年，合作期限两年。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付款方式。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按年度支付。乙方向甲方交付完一个年度内所有检测报告、出具正式发票后十五个工作日内，甲方向乙方支付合同全款。全部款项以银行转账方式支付。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如检测项目指标不合格，经医院整改后检测机构应免费进行第二次检测。超过两次检测医院则应支付相应费用。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三、应提供资料包括但不限于：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1、公司资质、公司介绍。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2、满足服务内容及要求的承诺函、服务方案。如无法满足服务内容中的五点要求请注明。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2、公司业绩：提供2021年以来不少于三家医院环境检测合同的复印件，少于三家为无效投标。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3、年度报价单。高于预算费用为无效报价。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4、授权委托书及被委托人的身份证复印件、联系电话。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以上所有资料请公司鲜章。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四、评审方式：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在收到资料后，将在医院纪委的监督下拆封投标文件并进行评审。</w:t>
      </w:r>
    </w:p>
    <w:tbl>
      <w:tblPr>
        <w:tblStyle w:val="7"/>
        <w:tblW w:w="0" w:type="auto"/>
        <w:tblInd w:w="9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2"/>
        <w:gridCol w:w="4340"/>
        <w:gridCol w:w="14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评审因素</w:t>
            </w:r>
          </w:p>
        </w:tc>
        <w:tc>
          <w:tcPr>
            <w:tcW w:w="43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评审标准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报价30分</w:t>
            </w:r>
          </w:p>
        </w:tc>
        <w:tc>
          <w:tcPr>
            <w:tcW w:w="4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以本次有效的最低投标报价为基准价，投标报价得分=(基准价／投标报价)*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0分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服务内容20</w:t>
            </w:r>
          </w:p>
        </w:tc>
        <w:tc>
          <w:tcPr>
            <w:tcW w:w="4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满足服务内容中五点要求得20分，每有一个不满足扣4分。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服务方案26分</w:t>
            </w:r>
          </w:p>
        </w:tc>
        <w:tc>
          <w:tcPr>
            <w:tcW w:w="4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制定详细服务方案。按优、良、合格、差分级，得分分别为26、20、16、12分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7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业绩24分</w:t>
            </w:r>
          </w:p>
        </w:tc>
        <w:tc>
          <w:tcPr>
            <w:tcW w:w="43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每提供一个2021年以来医院环境检测业绩得2分，最多得12分。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所提供的业绩中如有三台县境内医院的合作业绩，每提供一个另加2分，最多得12分。</w:t>
            </w:r>
          </w:p>
        </w:tc>
        <w:tc>
          <w:tcPr>
            <w:tcW w:w="147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640" w:firstLineChars="200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18" w:right="1701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cs="Times New Roman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cs="宋体"/>
                            </w:rPr>
                            <w:t>第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  <w:szCs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 w:cs="宋体"/>
                              <w:sz w:val="18"/>
                              <w:szCs w:val="18"/>
                            </w:rPr>
                            <w:t>页共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hint="eastAsia" w:cs="宋体"/>
                              <w:sz w:val="18"/>
                              <w:szCs w:val="18"/>
                            </w:rPr>
                            <w:t>页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s0lY7tAAAAAFAQAADwAAAAAAAAABACAAAAAiAAAA&#10;ZHJzL2Rvd25yZXYueG1sUEsBAhQAFAAAAAgAh07iQN3znmHWAQAAsAMAAA4AAAAAAAAAAQAgAAAA&#10;HwEAAGRycy9lMm9Eb2MueG1sUEsFBgAAAAAGAAYAWQEAAG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cs="Times New Roman"/>
                        <w:sz w:val="18"/>
                        <w:szCs w:val="18"/>
                      </w:rPr>
                    </w:pPr>
                    <w:r>
                      <w:rPr>
                        <w:rFonts w:hint="eastAsia" w:cs="宋体"/>
                      </w:rPr>
                      <w:t>第</w:t>
                    </w:r>
                    <w:r>
                      <w:rPr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sz w:val="18"/>
                        <w:szCs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1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eastAsia" w:cs="宋体"/>
                        <w:sz w:val="18"/>
                        <w:szCs w:val="18"/>
                      </w:rPr>
                      <w:t>页共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rPr>
                        <w:sz w:val="18"/>
                        <w:szCs w:val="18"/>
                      </w:rPr>
                      <w:t>3</w:t>
                    </w:r>
                    <w:r>
                      <w:rPr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hint="eastAsia" w:cs="宋体"/>
                        <w:sz w:val="18"/>
                        <w:szCs w:val="18"/>
                      </w:rPr>
                      <w:t>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ODM1OWRmZGZjMmQxMjNiZDk1YzY2NzY4NmM2ODcifQ=="/>
  </w:docVars>
  <w:rsids>
    <w:rsidRoot w:val="259058AD"/>
    <w:rsid w:val="04183E56"/>
    <w:rsid w:val="259058AD"/>
    <w:rsid w:val="6ED04BB9"/>
    <w:rsid w:val="79D43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NormalCharacter"/>
    <w:semiHidden/>
    <w:qFormat/>
    <w:uiPriority w:val="0"/>
    <w:rPr>
      <w:rFonts w:ascii="Calibri" w:hAnsi="Calibri" w:eastAsia="宋体" w:cs="Calibri"/>
      <w:kern w:val="2"/>
      <w:sz w:val="21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889</Words>
  <Characters>925</Characters>
  <Lines>0</Lines>
  <Paragraphs>0</Paragraphs>
  <TotalTime>99</TotalTime>
  <ScaleCrop>false</ScaleCrop>
  <LinksUpToDate>false</LinksUpToDate>
  <CharactersWithSpaces>926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2021-07-14T09:34:00Z</dcterms:created>
  <dc:creator>龅牙老白兔</dc:creator>
  <cp:lastModifiedBy> TR</cp:lastModifiedBy>
  <dcterms:modified xsi:type="dcterms:W3CDTF">2023-05-15T02:03:00Z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132F8F10EA7E4F8FABCC7506BA5C4B71_13</vt:lpwstr>
  </property>
</Properties>
</file>