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sz w:val="32"/>
          <w:szCs w:val="32"/>
        </w:rPr>
      </w:pPr>
      <w:bookmarkStart w:id="0" w:name="_Toc52036320"/>
    </w:p>
    <w:p>
      <w:pPr>
        <w:pStyle w:val="2"/>
        <w:spacing w:before="0" w:after="0" w:line="360" w:lineRule="auto"/>
        <w:jc w:val="left"/>
        <w:rPr>
          <w:rFonts w:hint="eastAsia" w:ascii="Times New Roman" w:hAnsi="Times New Roman" w:eastAsia="宋体"/>
          <w:sz w:val="36"/>
          <w:szCs w:val="36"/>
          <w:lang w:eastAsia="zh-CN"/>
        </w:rPr>
      </w:pPr>
      <w:r>
        <w:rPr>
          <w:rFonts w:hint="eastAsia" w:ascii="Times New Roman" w:hAnsi="Times New Roman"/>
          <w:sz w:val="36"/>
          <w:szCs w:val="36"/>
        </w:rPr>
        <w:t>附件</w:t>
      </w:r>
      <w:r>
        <w:rPr>
          <w:rFonts w:hint="eastAsia" w:ascii="Times New Roman" w:hAnsi="Times New Roman"/>
          <w:sz w:val="36"/>
          <w:szCs w:val="36"/>
          <w:lang w:eastAsia="zh-CN"/>
        </w:rPr>
        <w:t>：</w:t>
      </w:r>
    </w:p>
    <w:p>
      <w:pPr>
        <w:pStyle w:val="2"/>
        <w:spacing w:before="0" w:after="0" w:line="360" w:lineRule="auto"/>
        <w:jc w:val="center"/>
        <w:rPr>
          <w:rFonts w:hint="eastAsia" w:ascii="Times New Roman" w:hAnsi="Times New Roman" w:eastAsia="宋体"/>
          <w:sz w:val="32"/>
          <w:szCs w:val="32"/>
          <w:lang w:eastAsia="zh-CN"/>
        </w:rPr>
      </w:pPr>
      <w:r>
        <w:rPr>
          <w:rFonts w:hint="eastAsia" w:ascii="Times New Roman" w:hAnsi="Times New Roman"/>
          <w:sz w:val="32"/>
          <w:szCs w:val="32"/>
        </w:rPr>
        <w:t>三台县</w:t>
      </w:r>
      <w:r>
        <w:rPr>
          <w:rFonts w:hint="eastAsia" w:ascii="Times New Roman" w:hAnsi="Times New Roman"/>
          <w:sz w:val="32"/>
          <w:szCs w:val="32"/>
          <w:lang w:eastAsia="zh-CN"/>
        </w:rPr>
        <w:t>中医院</w:t>
      </w:r>
    </w:p>
    <w:p>
      <w:pPr>
        <w:pStyle w:val="2"/>
        <w:spacing w:before="0" w:after="0" w:line="360" w:lineRule="auto"/>
        <w:jc w:val="center"/>
        <w:rPr>
          <w:rFonts w:ascii="Times New Roman" w:hAnsi="Times New Roman"/>
          <w:sz w:val="32"/>
          <w:szCs w:val="32"/>
        </w:rPr>
      </w:pPr>
      <w:r>
        <w:rPr>
          <w:rFonts w:hint="eastAsia" w:ascii="Times New Roman" w:hAnsi="Times New Roman"/>
          <w:sz w:val="32"/>
          <w:szCs w:val="32"/>
        </w:rPr>
        <w:t>关于</w:t>
      </w:r>
      <w:r>
        <w:rPr>
          <w:rFonts w:hint="eastAsia" w:ascii="Times New Roman" w:hAnsi="Times New Roman"/>
          <w:sz w:val="32"/>
          <w:szCs w:val="32"/>
          <w:lang w:val="en-US" w:eastAsia="zh-CN"/>
        </w:rPr>
        <w:t>视频喉镜</w:t>
      </w:r>
      <w:r>
        <w:rPr>
          <w:rFonts w:hint="eastAsia" w:ascii="Times New Roman" w:hAnsi="Times New Roman"/>
          <w:sz w:val="32"/>
          <w:szCs w:val="32"/>
        </w:rPr>
        <w:t>采购的比选文件</w:t>
      </w:r>
    </w:p>
    <w:p>
      <w:pPr>
        <w:pStyle w:val="2"/>
        <w:spacing w:before="0" w:after="0" w:line="360" w:lineRule="auto"/>
        <w:jc w:val="center"/>
        <w:rPr>
          <w:rFonts w:ascii="Times New Roman" w:hAnsi="Times New Roman"/>
          <w:b w:val="0"/>
          <w:sz w:val="30"/>
          <w:szCs w:val="30"/>
        </w:rPr>
      </w:pPr>
      <w:r>
        <w:rPr>
          <w:rFonts w:ascii="Times New Roman" w:hAnsi="Times New Roman"/>
          <w:sz w:val="30"/>
          <w:szCs w:val="30"/>
        </w:rPr>
        <w:t>第一章  比选邀请函</w:t>
      </w:r>
      <w:bookmarkEnd w:id="0"/>
    </w:p>
    <w:p>
      <w:pPr>
        <w:keepNext w:val="0"/>
        <w:keepLines w:val="0"/>
        <w:pageBreakBefore w:val="0"/>
        <w:widowControl w:val="0"/>
        <w:kinsoku/>
        <w:wordWrap/>
        <w:overflowPunct/>
        <w:topLinePunct w:val="0"/>
        <w:bidi w:val="0"/>
        <w:snapToGrid/>
        <w:spacing w:line="400" w:lineRule="exact"/>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各潜在比选申请人：</w:t>
      </w:r>
    </w:p>
    <w:p>
      <w:pPr>
        <w:keepNext w:val="0"/>
        <w:keepLines w:val="0"/>
        <w:pageBreakBefore w:val="0"/>
        <w:widowControl w:val="0"/>
        <w:kinsoku/>
        <w:wordWrap/>
        <w:overflowPunct/>
        <w:topLinePunct w:val="0"/>
        <w:bidi w:val="0"/>
        <w:snapToGrid/>
        <w:spacing w:line="400" w:lineRule="exact"/>
        <w:ind w:firstLine="480" w:firstLineChars="200"/>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color w:val="000000"/>
          <w:sz w:val="24"/>
          <w:szCs w:val="24"/>
        </w:rPr>
        <w:t>经医院研究，决定</w:t>
      </w:r>
      <w:r>
        <w:rPr>
          <w:rFonts w:hint="eastAsia" w:ascii="仿宋_GB2312" w:hAnsi="仿宋_GB2312" w:eastAsia="仿宋_GB2312" w:cs="仿宋_GB2312"/>
          <w:sz w:val="24"/>
          <w:szCs w:val="24"/>
        </w:rPr>
        <w:t>采购</w:t>
      </w:r>
      <w:r>
        <w:rPr>
          <w:rFonts w:hint="eastAsia" w:ascii="仿宋_GB2312" w:hAnsi="仿宋_GB2312" w:eastAsia="仿宋_GB2312" w:cs="仿宋_GB2312"/>
          <w:color w:val="000000"/>
          <w:sz w:val="24"/>
          <w:szCs w:val="24"/>
          <w:lang w:val="en-US" w:eastAsia="zh-CN"/>
        </w:rPr>
        <w:t>视频喉镜1套，</w:t>
      </w:r>
      <w:r>
        <w:rPr>
          <w:rFonts w:hint="eastAsia" w:ascii="仿宋_GB2312" w:hAnsi="仿宋_GB2312" w:eastAsia="仿宋_GB2312" w:cs="仿宋_GB2312"/>
          <w:sz w:val="24"/>
          <w:szCs w:val="24"/>
          <w:lang w:val="en-US" w:eastAsia="zh-CN"/>
        </w:rPr>
        <w:t>现以公</w:t>
      </w:r>
      <w:r>
        <w:rPr>
          <w:rFonts w:hint="eastAsia" w:ascii="仿宋_GB2312" w:hAnsi="仿宋_GB2312" w:eastAsia="仿宋_GB2312" w:cs="仿宋_GB2312"/>
          <w:sz w:val="24"/>
          <w:szCs w:val="24"/>
        </w:rPr>
        <w:t>告方式邀请符合要求的供应商参加比选。</w:t>
      </w:r>
    </w:p>
    <w:p>
      <w:pPr>
        <w:keepNext w:val="0"/>
        <w:keepLines w:val="0"/>
        <w:pageBreakBefore w:val="0"/>
        <w:widowControl w:val="0"/>
        <w:kinsoku/>
        <w:wordWrap/>
        <w:overflowPunct/>
        <w:topLinePunct w:val="0"/>
        <w:bidi w:val="0"/>
        <w:snapToGrid/>
        <w:spacing w:line="400" w:lineRule="exact"/>
        <w:textAlignment w:val="auto"/>
        <w:outlineLvl w:val="9"/>
        <w:rPr>
          <w:rFonts w:hint="eastAsia" w:ascii="仿宋_GB2312" w:hAnsi="仿宋_GB2312" w:eastAsia="仿宋_GB2312" w:cs="仿宋_GB2312"/>
          <w:sz w:val="24"/>
          <w:szCs w:val="24"/>
          <w:u w:val="single"/>
        </w:rPr>
      </w:pPr>
      <w:r>
        <w:rPr>
          <w:rFonts w:hint="eastAsia" w:ascii="仿宋_GB2312" w:hAnsi="仿宋_GB2312" w:eastAsia="仿宋_GB2312" w:cs="仿宋_GB2312"/>
          <w:b/>
          <w:bCs/>
          <w:sz w:val="24"/>
          <w:szCs w:val="24"/>
        </w:rPr>
        <w:t>一、项目名称：</w:t>
      </w:r>
      <w:r>
        <w:rPr>
          <w:rFonts w:hint="eastAsia" w:ascii="仿宋_GB2312" w:hAnsi="仿宋_GB2312" w:eastAsia="仿宋_GB2312" w:cs="仿宋_GB2312"/>
          <w:color w:val="000000"/>
          <w:sz w:val="24"/>
          <w:szCs w:val="24"/>
          <w:lang w:val="en-US" w:eastAsia="zh-CN"/>
        </w:rPr>
        <w:t>视频喉镜</w:t>
      </w:r>
      <w:r>
        <w:rPr>
          <w:rFonts w:hint="eastAsia" w:ascii="仿宋_GB2312" w:hAnsi="仿宋_GB2312" w:eastAsia="仿宋_GB2312" w:cs="仿宋_GB2312"/>
          <w:color w:val="000000"/>
          <w:sz w:val="24"/>
          <w:szCs w:val="24"/>
        </w:rPr>
        <w:t>。</w:t>
      </w:r>
    </w:p>
    <w:p>
      <w:pPr>
        <w:keepNext w:val="0"/>
        <w:keepLines w:val="0"/>
        <w:pageBreakBefore w:val="0"/>
        <w:widowControl w:val="0"/>
        <w:numPr>
          <w:ilvl w:val="0"/>
          <w:numId w:val="0"/>
        </w:numPr>
        <w:kinsoku/>
        <w:wordWrap/>
        <w:overflowPunct/>
        <w:topLinePunct w:val="0"/>
        <w:bidi w:val="0"/>
        <w:snapToGrid/>
        <w:spacing w:line="400" w:lineRule="exact"/>
        <w:ind w:leftChars="0"/>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w:t>
      </w:r>
      <w:r>
        <w:rPr>
          <w:rFonts w:hint="eastAsia" w:ascii="仿宋_GB2312" w:hAnsi="仿宋_GB2312" w:eastAsia="仿宋_GB2312" w:cs="仿宋_GB2312"/>
          <w:b/>
          <w:bCs/>
          <w:sz w:val="24"/>
          <w:szCs w:val="24"/>
          <w:lang w:val="en-US" w:eastAsia="zh-CN"/>
        </w:rPr>
        <w:t>采购数量：1套；最高限价：4.3万元。</w:t>
      </w:r>
    </w:p>
    <w:p>
      <w:pPr>
        <w:keepNext w:val="0"/>
        <w:keepLines w:val="0"/>
        <w:pageBreakBefore w:val="0"/>
        <w:widowControl w:val="0"/>
        <w:kinsoku/>
        <w:wordWrap/>
        <w:overflowPunct/>
        <w:topLinePunct w:val="0"/>
        <w:bidi w:val="0"/>
        <w:snapToGrid/>
        <w:spacing w:line="400" w:lineRule="exact"/>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三、合格比选申请人资格要求</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zh-CN"/>
        </w:rPr>
        <w:t>1、具有独立承担民事责任的能力；</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zh-CN"/>
        </w:rPr>
        <w:t>2、具有良好的商业信誉和健全的财务会计制度；</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zh-CN"/>
        </w:rPr>
        <w:t>3、具备履行合同所必需的设备和专业技术能力；</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zh-CN"/>
        </w:rPr>
        <w:t>4、具有依法缴纳税收和社会保障资金的良好记录；</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zh-CN"/>
        </w:rPr>
        <w:t>5、参加采购活动前三年内，在经营活动中没有重大违法记录；</w:t>
      </w:r>
    </w:p>
    <w:p>
      <w:pPr>
        <w:keepNext w:val="0"/>
        <w:keepLines w:val="0"/>
        <w:pageBreakBefore w:val="0"/>
        <w:widowControl w:val="0"/>
        <w:kinsoku/>
        <w:wordWrap/>
        <w:overflowPunct/>
        <w:topLinePunct w:val="0"/>
        <w:autoSpaceDE w:val="0"/>
        <w:autoSpaceDN w:val="0"/>
        <w:bidi w:val="0"/>
        <w:adjustRightInd w:val="0"/>
        <w:snapToGrid/>
        <w:spacing w:line="400" w:lineRule="exact"/>
        <w:ind w:left="360" w:hanging="360" w:hangingChars="150"/>
        <w:contextualSpacing/>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zh-CN"/>
        </w:rPr>
        <w:t>6、与其他比选申请人供应商之间，单位负责人不为同一人而且不存在直接控股、管理关系；</w:t>
      </w:r>
    </w:p>
    <w:p>
      <w:pPr>
        <w:keepNext w:val="0"/>
        <w:keepLines w:val="0"/>
        <w:pageBreakBefore w:val="0"/>
        <w:widowControl w:val="0"/>
        <w:kinsoku/>
        <w:wordWrap/>
        <w:overflowPunct/>
        <w:topLinePunct w:val="0"/>
        <w:autoSpaceDE w:val="0"/>
        <w:autoSpaceDN w:val="0"/>
        <w:bidi w:val="0"/>
        <w:adjustRightInd w:val="0"/>
        <w:snapToGrid/>
        <w:spacing w:line="400" w:lineRule="exact"/>
        <w:ind w:left="360" w:hanging="360" w:hangingChars="150"/>
        <w:contextualSpacing/>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zh-CN"/>
        </w:rPr>
        <w:t>7、具有医疗器械经营企业许可证或医疗器械经营备案凭证（设备为I类医疗器械、不属于医疗器械不提供）。</w:t>
      </w:r>
    </w:p>
    <w:p>
      <w:pPr>
        <w:keepNext w:val="0"/>
        <w:keepLines w:val="0"/>
        <w:pageBreakBefore w:val="0"/>
        <w:widowControl w:val="0"/>
        <w:kinsoku/>
        <w:wordWrap/>
        <w:overflowPunct/>
        <w:topLinePunct w:val="0"/>
        <w:autoSpaceDE w:val="0"/>
        <w:autoSpaceDN w:val="0"/>
        <w:bidi w:val="0"/>
        <w:adjustRightInd w:val="0"/>
        <w:snapToGrid/>
        <w:spacing w:line="400" w:lineRule="exact"/>
        <w:ind w:left="360" w:hanging="360" w:hangingChars="150"/>
        <w:contextualSpacing/>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zh-CN"/>
        </w:rPr>
        <w:t>8、法定代表人授权委托书；</w:t>
      </w:r>
    </w:p>
    <w:p>
      <w:pPr>
        <w:keepNext w:val="0"/>
        <w:keepLines w:val="0"/>
        <w:pageBreakBefore w:val="0"/>
        <w:widowControl w:val="0"/>
        <w:kinsoku/>
        <w:wordWrap/>
        <w:overflowPunct/>
        <w:topLinePunct w:val="0"/>
        <w:autoSpaceDE w:val="0"/>
        <w:autoSpaceDN w:val="0"/>
        <w:bidi w:val="0"/>
        <w:adjustRightInd w:val="0"/>
        <w:snapToGrid/>
        <w:spacing w:line="400" w:lineRule="exact"/>
        <w:ind w:left="360" w:hanging="360" w:hangingChars="150"/>
        <w:contextualSpacing/>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D0D0D"/>
          <w:kern w:val="0"/>
          <w:sz w:val="24"/>
          <w:szCs w:val="24"/>
          <w:lang w:val="zh-CN"/>
        </w:rPr>
        <w:t>9、</w:t>
      </w:r>
      <w:r>
        <w:rPr>
          <w:rFonts w:hint="eastAsia" w:ascii="仿宋_GB2312" w:hAnsi="仿宋_GB2312" w:eastAsia="仿宋_GB2312" w:cs="仿宋_GB2312"/>
          <w:sz w:val="24"/>
          <w:szCs w:val="24"/>
        </w:rPr>
        <w:t>提供产品的医疗器械产品注册证或备案凭证</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spacing w:line="400" w:lineRule="exact"/>
        <w:ind w:left="361" w:hanging="361" w:hangingChars="150"/>
        <w:contextualSpacing/>
        <w:textAlignment w:val="auto"/>
        <w:outlineLvl w:val="9"/>
        <w:rPr>
          <w:rFonts w:hint="eastAsia" w:ascii="仿宋_GB2312" w:hAnsi="仿宋_GB2312" w:eastAsia="仿宋_GB2312" w:cs="仿宋_GB2312"/>
          <w:b/>
          <w:color w:val="0D0D0D"/>
          <w:kern w:val="0"/>
          <w:sz w:val="24"/>
          <w:szCs w:val="24"/>
          <w:lang w:val="zh-CN"/>
        </w:rPr>
      </w:pPr>
      <w:r>
        <w:rPr>
          <w:rFonts w:hint="eastAsia" w:ascii="仿宋_GB2312" w:hAnsi="仿宋_GB2312" w:eastAsia="仿宋_GB2312" w:cs="仿宋_GB2312"/>
          <w:b/>
          <w:color w:val="0D0D0D"/>
          <w:kern w:val="0"/>
          <w:sz w:val="24"/>
          <w:szCs w:val="24"/>
          <w:lang w:val="zh-CN"/>
        </w:rPr>
        <w:t>四、比选申请人资格证明文件</w:t>
      </w:r>
    </w:p>
    <w:p>
      <w:pPr>
        <w:keepNext w:val="0"/>
        <w:keepLines w:val="0"/>
        <w:pageBreakBefore w:val="0"/>
        <w:widowControl w:val="0"/>
        <w:kinsoku/>
        <w:wordWrap/>
        <w:overflowPunct/>
        <w:topLinePunct w:val="0"/>
        <w:autoSpaceDE w:val="0"/>
        <w:autoSpaceDN w:val="0"/>
        <w:bidi w:val="0"/>
        <w:adjustRightInd w:val="0"/>
        <w:snapToGrid/>
        <w:spacing w:line="400" w:lineRule="exact"/>
        <w:ind w:left="360" w:hanging="360" w:hangingChars="150"/>
        <w:contextualSpacing/>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keepNext w:val="0"/>
        <w:keepLines w:val="0"/>
        <w:pageBreakBefore w:val="0"/>
        <w:widowControl w:val="0"/>
        <w:kinsoku/>
        <w:wordWrap/>
        <w:overflowPunct/>
        <w:topLinePunct w:val="0"/>
        <w:autoSpaceDE w:val="0"/>
        <w:autoSpaceDN w:val="0"/>
        <w:bidi w:val="0"/>
        <w:adjustRightInd w:val="0"/>
        <w:snapToGrid/>
        <w:spacing w:line="400" w:lineRule="exact"/>
        <w:ind w:left="360" w:hanging="360" w:hangingChars="150"/>
        <w:contextualSpacing/>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zh-CN"/>
        </w:rPr>
        <w:t>2、提供具有良好的商业信誉承诺书</w:t>
      </w:r>
    </w:p>
    <w:p>
      <w:pPr>
        <w:keepNext w:val="0"/>
        <w:keepLines w:val="0"/>
        <w:pageBreakBefore w:val="0"/>
        <w:widowControl w:val="0"/>
        <w:kinsoku/>
        <w:wordWrap/>
        <w:overflowPunct/>
        <w:topLinePunct w:val="0"/>
        <w:autoSpaceDE w:val="0"/>
        <w:autoSpaceDN w:val="0"/>
        <w:bidi w:val="0"/>
        <w:adjustRightInd w:val="0"/>
        <w:snapToGrid/>
        <w:spacing w:line="400" w:lineRule="exact"/>
        <w:ind w:left="360" w:hanging="360" w:hangingChars="150"/>
        <w:contextualSpacing/>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zh-CN"/>
        </w:rPr>
        <w:t>3、提供具有履行合同所必须的设备和专业技术能力的承诺书。</w:t>
      </w:r>
    </w:p>
    <w:p>
      <w:pPr>
        <w:keepNext w:val="0"/>
        <w:keepLines w:val="0"/>
        <w:pageBreakBefore w:val="0"/>
        <w:widowControl w:val="0"/>
        <w:kinsoku/>
        <w:wordWrap/>
        <w:overflowPunct/>
        <w:topLinePunct w:val="0"/>
        <w:autoSpaceDE w:val="0"/>
        <w:autoSpaceDN w:val="0"/>
        <w:bidi w:val="0"/>
        <w:adjustRightInd w:val="0"/>
        <w:snapToGrid/>
        <w:spacing w:line="400" w:lineRule="exact"/>
        <w:ind w:left="360" w:hanging="360" w:hangingChars="150"/>
        <w:contextualSpacing/>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zh-CN"/>
        </w:rPr>
        <w:t>4、提供开标日前任意一个月的缴纳税收和社保的银行缴款凭证或税务、社保部门出具的证明材料复印件。</w:t>
      </w:r>
    </w:p>
    <w:p>
      <w:pPr>
        <w:keepNext w:val="0"/>
        <w:keepLines w:val="0"/>
        <w:pageBreakBefore w:val="0"/>
        <w:widowControl w:val="0"/>
        <w:kinsoku/>
        <w:wordWrap/>
        <w:overflowPunct/>
        <w:topLinePunct w:val="0"/>
        <w:autoSpaceDE w:val="0"/>
        <w:autoSpaceDN w:val="0"/>
        <w:bidi w:val="0"/>
        <w:adjustRightInd w:val="0"/>
        <w:snapToGrid/>
        <w:spacing w:line="400" w:lineRule="exact"/>
        <w:ind w:left="360" w:hanging="360" w:hangingChars="150"/>
        <w:contextualSpacing/>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zh-CN"/>
        </w:rPr>
        <w:t>注：可提供承诺函。</w:t>
      </w:r>
    </w:p>
    <w:p>
      <w:pPr>
        <w:keepNext w:val="0"/>
        <w:keepLines w:val="0"/>
        <w:pageBreakBefore w:val="0"/>
        <w:widowControl w:val="0"/>
        <w:kinsoku/>
        <w:wordWrap/>
        <w:overflowPunct/>
        <w:topLinePunct w:val="0"/>
        <w:autoSpaceDE w:val="0"/>
        <w:autoSpaceDN w:val="0"/>
        <w:bidi w:val="0"/>
        <w:adjustRightInd w:val="0"/>
        <w:snapToGrid/>
        <w:spacing w:line="400" w:lineRule="exact"/>
        <w:ind w:left="360" w:hanging="360" w:hangingChars="150"/>
        <w:contextualSpacing/>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zh-CN"/>
        </w:rPr>
        <w:t>5、提供参加本次比选采购活动前三年内，在经营活动中没有重大违法记录的承诺书。（公司成立不足三年的从成立之日起算）</w:t>
      </w:r>
    </w:p>
    <w:p>
      <w:pPr>
        <w:keepNext w:val="0"/>
        <w:keepLines w:val="0"/>
        <w:pageBreakBefore w:val="0"/>
        <w:widowControl w:val="0"/>
        <w:kinsoku/>
        <w:wordWrap/>
        <w:overflowPunct/>
        <w:topLinePunct w:val="0"/>
        <w:autoSpaceDE w:val="0"/>
        <w:autoSpaceDN w:val="0"/>
        <w:bidi w:val="0"/>
        <w:adjustRightInd w:val="0"/>
        <w:snapToGrid/>
        <w:spacing w:line="400" w:lineRule="exact"/>
        <w:ind w:left="360" w:hanging="360" w:hangingChars="150"/>
        <w:contextualSpacing/>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zh-CN"/>
        </w:rPr>
        <w:t>7、提供医疗器械经营许可证或医疗器械经营备案凭证复印件</w:t>
      </w:r>
    </w:p>
    <w:p>
      <w:pPr>
        <w:keepNext w:val="0"/>
        <w:keepLines w:val="0"/>
        <w:pageBreakBefore w:val="0"/>
        <w:widowControl w:val="0"/>
        <w:kinsoku/>
        <w:wordWrap/>
        <w:overflowPunct/>
        <w:topLinePunct w:val="0"/>
        <w:autoSpaceDE w:val="0"/>
        <w:autoSpaceDN w:val="0"/>
        <w:bidi w:val="0"/>
        <w:adjustRightInd w:val="0"/>
        <w:snapToGrid/>
        <w:spacing w:line="400" w:lineRule="exact"/>
        <w:ind w:left="360" w:hanging="360" w:hangingChars="150"/>
        <w:contextualSpacing/>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zh-CN"/>
        </w:rPr>
        <w:t>8、法定代表人/单位负责人授权委托书（法定代表人/单位负责人或自然人直接参与投标的除外）。</w:t>
      </w:r>
    </w:p>
    <w:p>
      <w:pPr>
        <w:keepNext w:val="0"/>
        <w:keepLines w:val="0"/>
        <w:pageBreakBefore w:val="0"/>
        <w:widowControl w:val="0"/>
        <w:numPr>
          <w:ilvl w:val="0"/>
          <w:numId w:val="0"/>
        </w:numPr>
        <w:kinsoku/>
        <w:wordWrap/>
        <w:overflowPunct/>
        <w:topLinePunct w:val="0"/>
        <w:bidi w:val="0"/>
        <w:snapToGrid/>
        <w:spacing w:line="400" w:lineRule="exact"/>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zh-CN"/>
        </w:rPr>
        <w:t>9、提供产品的医疗器械产品注册证或备案凭证复印件。</w:t>
      </w:r>
    </w:p>
    <w:p>
      <w:pPr>
        <w:keepNext w:val="0"/>
        <w:keepLines w:val="0"/>
        <w:pageBreakBefore w:val="0"/>
        <w:widowControl w:val="0"/>
        <w:numPr>
          <w:ilvl w:val="0"/>
          <w:numId w:val="0"/>
        </w:numPr>
        <w:kinsoku/>
        <w:wordWrap/>
        <w:overflowPunct/>
        <w:topLinePunct w:val="0"/>
        <w:bidi w:val="0"/>
        <w:snapToGrid/>
        <w:spacing w:line="400" w:lineRule="exact"/>
        <w:ind w:left="0" w:leftChars="0" w:firstLine="482" w:firstLineChars="200"/>
        <w:textAlignment w:val="auto"/>
        <w:outlineLvl w:val="9"/>
        <w:rPr>
          <w:rFonts w:hint="eastAsia" w:ascii="仿宋_GB2312" w:hAnsi="仿宋_GB2312" w:eastAsia="仿宋_GB2312" w:cs="仿宋_GB2312"/>
          <w:b w:val="0"/>
          <w:bCs w:val="0"/>
          <w:sz w:val="24"/>
          <w:szCs w:val="24"/>
        </w:rPr>
      </w:pPr>
      <w:r>
        <w:rPr>
          <w:rFonts w:hint="eastAsia" w:ascii="仿宋_GB2312" w:hAnsi="仿宋_GB2312" w:eastAsia="仿宋_GB2312" w:cs="仿宋_GB2312"/>
          <w:b/>
          <w:kern w:val="0"/>
          <w:sz w:val="24"/>
          <w:szCs w:val="24"/>
          <w:lang w:val="zh-CN"/>
        </w:rPr>
        <w:t>五、</w:t>
      </w:r>
      <w:r>
        <w:rPr>
          <w:rFonts w:hint="eastAsia" w:ascii="仿宋_GB2312" w:hAnsi="仿宋_GB2312" w:eastAsia="仿宋_GB2312" w:cs="仿宋_GB2312"/>
          <w:b/>
          <w:bCs/>
          <w:sz w:val="24"/>
          <w:szCs w:val="24"/>
        </w:rPr>
        <w:t>报名方式及截止时间：</w:t>
      </w:r>
      <w:r>
        <w:rPr>
          <w:rFonts w:hint="eastAsia" w:ascii="仿宋_GB2312" w:hAnsi="仿宋_GB2312" w:eastAsia="仿宋_GB2312" w:cs="仿宋_GB2312"/>
          <w:b w:val="0"/>
          <w:bCs w:val="0"/>
          <w:sz w:val="24"/>
          <w:szCs w:val="24"/>
        </w:rPr>
        <w:t>请潜在比选人</w:t>
      </w:r>
      <w:r>
        <w:rPr>
          <w:rFonts w:hint="eastAsia" w:ascii="仿宋_GB2312" w:hAnsi="仿宋_GB2312" w:eastAsia="仿宋_GB2312" w:cs="仿宋_GB2312"/>
          <w:b w:val="0"/>
          <w:bCs w:val="0"/>
          <w:sz w:val="24"/>
          <w:szCs w:val="24"/>
          <w:lang w:val="en-US" w:eastAsia="zh-CN"/>
        </w:rPr>
        <w:t>编辑短信：视频喉镜报名+公司名称+联系人+联系电话，发送至13989277675。收到回复视为报名成功。</w:t>
      </w:r>
      <w:r>
        <w:rPr>
          <w:rFonts w:hint="eastAsia" w:ascii="仿宋_GB2312" w:hAnsi="仿宋_GB2312" w:eastAsia="仿宋_GB2312" w:cs="仿宋_GB2312"/>
          <w:b w:val="0"/>
          <w:bCs w:val="0"/>
          <w:sz w:val="24"/>
          <w:szCs w:val="24"/>
        </w:rPr>
        <w:t>三台县</w:t>
      </w:r>
      <w:r>
        <w:rPr>
          <w:rFonts w:hint="eastAsia" w:ascii="仿宋_GB2312" w:hAnsi="仿宋_GB2312" w:eastAsia="仿宋_GB2312" w:cs="仿宋_GB2312"/>
          <w:b w:val="0"/>
          <w:bCs w:val="0"/>
          <w:sz w:val="24"/>
          <w:szCs w:val="24"/>
          <w:lang w:val="en-US" w:eastAsia="zh-CN"/>
        </w:rPr>
        <w:t>中</w:t>
      </w:r>
      <w:r>
        <w:rPr>
          <w:rFonts w:hint="eastAsia" w:ascii="仿宋_GB2312" w:hAnsi="仿宋_GB2312" w:eastAsia="仿宋_GB2312" w:cs="仿宋_GB2312"/>
          <w:b w:val="0"/>
          <w:bCs w:val="0"/>
          <w:sz w:val="24"/>
          <w:szCs w:val="24"/>
        </w:rPr>
        <w:t>医院采购办</w:t>
      </w:r>
      <w:r>
        <w:rPr>
          <w:rFonts w:hint="eastAsia" w:ascii="仿宋_GB2312" w:hAnsi="仿宋_GB2312" w:eastAsia="仿宋_GB2312" w:cs="仿宋_GB2312"/>
          <w:b w:val="0"/>
          <w:bCs w:val="0"/>
          <w:sz w:val="24"/>
          <w:szCs w:val="24"/>
          <w:lang w:val="en-US" w:eastAsia="zh-CN"/>
        </w:rPr>
        <w:t>联系</w:t>
      </w:r>
      <w:r>
        <w:rPr>
          <w:rFonts w:hint="eastAsia" w:ascii="仿宋_GB2312" w:hAnsi="仿宋_GB2312" w:eastAsia="仿宋_GB2312" w:cs="仿宋_GB2312"/>
          <w:b w:val="0"/>
          <w:bCs w:val="0"/>
          <w:sz w:val="24"/>
          <w:szCs w:val="24"/>
        </w:rPr>
        <w:t>电话：0816-52</w:t>
      </w:r>
      <w:r>
        <w:rPr>
          <w:rFonts w:hint="eastAsia" w:ascii="仿宋_GB2312" w:hAnsi="仿宋_GB2312" w:eastAsia="仿宋_GB2312" w:cs="仿宋_GB2312"/>
          <w:b w:val="0"/>
          <w:bCs w:val="0"/>
          <w:sz w:val="24"/>
          <w:szCs w:val="24"/>
          <w:lang w:val="en-US" w:eastAsia="zh-CN"/>
        </w:rPr>
        <w:t>61268</w:t>
      </w:r>
      <w:r>
        <w:rPr>
          <w:rFonts w:hint="eastAsia" w:ascii="仿宋_GB2312" w:hAnsi="仿宋_GB2312" w:eastAsia="仿宋_GB2312" w:cs="仿宋_GB2312"/>
          <w:b w:val="0"/>
          <w:bCs w:val="0"/>
          <w:sz w:val="24"/>
          <w:szCs w:val="24"/>
        </w:rPr>
        <w:t>，联系人：</w:t>
      </w:r>
      <w:r>
        <w:rPr>
          <w:rFonts w:hint="eastAsia" w:ascii="仿宋_GB2312" w:hAnsi="仿宋_GB2312" w:eastAsia="仿宋_GB2312" w:cs="仿宋_GB2312"/>
          <w:b w:val="0"/>
          <w:bCs w:val="0"/>
          <w:sz w:val="24"/>
          <w:szCs w:val="24"/>
          <w:lang w:val="en-US" w:eastAsia="zh-CN"/>
        </w:rPr>
        <w:t>杨</w:t>
      </w:r>
      <w:r>
        <w:rPr>
          <w:rFonts w:hint="eastAsia" w:ascii="仿宋_GB2312" w:hAnsi="仿宋_GB2312" w:eastAsia="仿宋_GB2312" w:cs="仿宋_GB2312"/>
          <w:b w:val="0"/>
          <w:bCs w:val="0"/>
          <w:sz w:val="24"/>
          <w:szCs w:val="24"/>
        </w:rPr>
        <w:t>老师、</w:t>
      </w:r>
      <w:r>
        <w:rPr>
          <w:rFonts w:hint="eastAsia" w:ascii="仿宋_GB2312" w:hAnsi="仿宋_GB2312" w:eastAsia="仿宋_GB2312" w:cs="仿宋_GB2312"/>
          <w:b w:val="0"/>
          <w:bCs w:val="0"/>
          <w:sz w:val="24"/>
          <w:szCs w:val="24"/>
          <w:lang w:val="en-US" w:eastAsia="zh-CN"/>
        </w:rPr>
        <w:t>李</w:t>
      </w:r>
      <w:r>
        <w:rPr>
          <w:rFonts w:hint="eastAsia" w:ascii="仿宋_GB2312" w:hAnsi="仿宋_GB2312" w:eastAsia="仿宋_GB2312" w:cs="仿宋_GB2312"/>
          <w:b w:val="0"/>
          <w:bCs w:val="0"/>
          <w:sz w:val="24"/>
          <w:szCs w:val="24"/>
        </w:rPr>
        <w:t>老师；</w:t>
      </w:r>
    </w:p>
    <w:p>
      <w:pPr>
        <w:keepNext w:val="0"/>
        <w:keepLines w:val="0"/>
        <w:pageBreakBefore w:val="0"/>
        <w:widowControl w:val="0"/>
        <w:numPr>
          <w:ilvl w:val="0"/>
          <w:numId w:val="0"/>
        </w:numPr>
        <w:kinsoku/>
        <w:wordWrap/>
        <w:overflowPunct/>
        <w:topLinePunct w:val="0"/>
        <w:bidi w:val="0"/>
        <w:snapToGrid/>
        <w:spacing w:line="400" w:lineRule="exact"/>
        <w:ind w:left="0" w:leftChars="0" w:firstLine="480" w:firstLineChars="200"/>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b w:val="0"/>
          <w:bCs w:val="0"/>
          <w:sz w:val="24"/>
          <w:szCs w:val="24"/>
        </w:rPr>
        <w:t>报名时间：</w:t>
      </w:r>
      <w:r>
        <w:rPr>
          <w:rFonts w:hint="eastAsia" w:ascii="仿宋_GB2312" w:hAnsi="仿宋_GB2312" w:eastAsia="仿宋_GB2312" w:cs="仿宋_GB2312"/>
          <w:b w:val="0"/>
          <w:bCs w:val="0"/>
          <w:sz w:val="24"/>
          <w:szCs w:val="24"/>
          <w:lang w:val="en-US" w:eastAsia="zh-CN"/>
        </w:rPr>
        <w:t>本采购公告发布之日起至2022年11月1日17:30</w:t>
      </w:r>
      <w:r>
        <w:rPr>
          <w:rFonts w:hint="eastAsia" w:ascii="仿宋_GB2312" w:hAnsi="仿宋_GB2312" w:eastAsia="仿宋_GB2312" w:cs="仿宋_GB2312"/>
          <w:b w:val="0"/>
          <w:bCs w:val="0"/>
          <w:sz w:val="24"/>
          <w:szCs w:val="24"/>
        </w:rPr>
        <w:t>（北京时间，节假日</w:t>
      </w:r>
      <w:r>
        <w:rPr>
          <w:rFonts w:hint="eastAsia" w:ascii="仿宋_GB2312" w:hAnsi="仿宋_GB2312" w:eastAsia="仿宋_GB2312" w:cs="仿宋_GB2312"/>
          <w:b w:val="0"/>
          <w:bCs w:val="0"/>
          <w:sz w:val="24"/>
          <w:szCs w:val="24"/>
          <w:lang w:val="en-US" w:eastAsia="zh-CN"/>
        </w:rPr>
        <w:t>不休</w:t>
      </w:r>
      <w:r>
        <w:rPr>
          <w:rFonts w:hint="eastAsia" w:ascii="仿宋_GB2312" w:hAnsi="仿宋_GB2312" w:eastAsia="仿宋_GB2312" w:cs="仿宋_GB2312"/>
          <w:b w:val="0"/>
          <w:bCs w:val="0"/>
          <w:sz w:val="24"/>
          <w:szCs w:val="24"/>
        </w:rPr>
        <w:t>）。</w:t>
      </w:r>
    </w:p>
    <w:p>
      <w:pPr>
        <w:keepNext w:val="0"/>
        <w:keepLines w:val="0"/>
        <w:pageBreakBefore w:val="0"/>
        <w:widowControl w:val="0"/>
        <w:kinsoku/>
        <w:wordWrap/>
        <w:overflowPunct/>
        <w:topLinePunct w:val="0"/>
        <w:bidi w:val="0"/>
        <w:snapToGrid/>
        <w:spacing w:line="400" w:lineRule="exact"/>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Cs/>
          <w:sz w:val="24"/>
          <w:szCs w:val="24"/>
        </w:rPr>
        <w:t>六、</w:t>
      </w:r>
      <w:r>
        <w:rPr>
          <w:rFonts w:hint="eastAsia" w:ascii="仿宋_GB2312" w:hAnsi="仿宋_GB2312" w:eastAsia="仿宋_GB2312" w:cs="仿宋_GB2312"/>
          <w:b/>
          <w:bCs/>
          <w:sz w:val="24"/>
          <w:szCs w:val="24"/>
        </w:rPr>
        <w:t>响应文件递交截止时间：</w:t>
      </w:r>
      <w:r>
        <w:rPr>
          <w:rFonts w:hint="eastAsia" w:ascii="仿宋_GB2312" w:hAnsi="仿宋_GB2312" w:eastAsia="仿宋_GB2312" w:cs="仿宋_GB2312"/>
          <w:b w:val="0"/>
          <w:bCs w:val="0"/>
          <w:sz w:val="24"/>
          <w:szCs w:val="24"/>
        </w:rPr>
        <w:t>2022年</w:t>
      </w:r>
      <w:r>
        <w:rPr>
          <w:rFonts w:hint="eastAsia" w:ascii="仿宋_GB2312" w:hAnsi="仿宋_GB2312" w:eastAsia="仿宋_GB2312" w:cs="仿宋_GB2312"/>
          <w:b w:val="0"/>
          <w:bCs w:val="0"/>
          <w:sz w:val="24"/>
          <w:szCs w:val="24"/>
          <w:lang w:val="en-US" w:eastAsia="zh-CN"/>
        </w:rPr>
        <w:t>11</w:t>
      </w:r>
      <w:r>
        <w:rPr>
          <w:rFonts w:hint="eastAsia" w:ascii="仿宋_GB2312" w:hAnsi="仿宋_GB2312" w:eastAsia="仿宋_GB2312" w:cs="仿宋_GB2312"/>
          <w:b w:val="0"/>
          <w:bCs w:val="0"/>
          <w:sz w:val="24"/>
          <w:szCs w:val="24"/>
        </w:rPr>
        <w:t>月</w:t>
      </w:r>
      <w:r>
        <w:rPr>
          <w:rFonts w:hint="eastAsia" w:ascii="仿宋_GB2312" w:hAnsi="仿宋_GB2312" w:eastAsia="仿宋_GB2312" w:cs="仿宋_GB2312"/>
          <w:b w:val="0"/>
          <w:bCs w:val="0"/>
          <w:sz w:val="24"/>
          <w:szCs w:val="24"/>
          <w:lang w:val="en-US" w:eastAsia="zh-CN"/>
        </w:rPr>
        <w:t>3</w:t>
      </w:r>
      <w:r>
        <w:rPr>
          <w:rFonts w:hint="eastAsia" w:ascii="仿宋_GB2312" w:hAnsi="仿宋_GB2312" w:eastAsia="仿宋_GB2312" w:cs="仿宋_GB2312"/>
          <w:b w:val="0"/>
          <w:bCs w:val="0"/>
          <w:sz w:val="24"/>
          <w:szCs w:val="24"/>
        </w:rPr>
        <w:t>日1</w:t>
      </w:r>
      <w:r>
        <w:rPr>
          <w:rFonts w:hint="eastAsia" w:ascii="仿宋_GB2312" w:hAnsi="仿宋_GB2312" w:eastAsia="仿宋_GB2312" w:cs="仿宋_GB2312"/>
          <w:b w:val="0"/>
          <w:bCs w:val="0"/>
          <w:sz w:val="24"/>
          <w:szCs w:val="24"/>
          <w:lang w:val="en-US" w:eastAsia="zh-CN"/>
        </w:rPr>
        <w:t>4:5</w:t>
      </w:r>
      <w:r>
        <w:rPr>
          <w:rFonts w:hint="eastAsia" w:ascii="仿宋_GB2312" w:hAnsi="仿宋_GB2312" w:eastAsia="仿宋_GB2312" w:cs="仿宋_GB2312"/>
          <w:b w:val="0"/>
          <w:bCs w:val="0"/>
          <w:sz w:val="24"/>
          <w:szCs w:val="24"/>
        </w:rPr>
        <w:t>0分（北京时间）</w:t>
      </w:r>
      <w:r>
        <w:rPr>
          <w:rFonts w:hint="eastAsia" w:ascii="仿宋_GB2312" w:hAnsi="仿宋_GB2312" w:eastAsia="仿宋_GB2312" w:cs="仿宋_GB2312"/>
          <w:kern w:val="0"/>
          <w:sz w:val="24"/>
          <w:szCs w:val="24"/>
        </w:rPr>
        <w:t>。</w:t>
      </w:r>
    </w:p>
    <w:p>
      <w:pPr>
        <w:keepNext w:val="0"/>
        <w:keepLines w:val="0"/>
        <w:pageBreakBefore w:val="0"/>
        <w:widowControl w:val="0"/>
        <w:kinsoku/>
        <w:wordWrap/>
        <w:overflowPunct/>
        <w:topLinePunct w:val="0"/>
        <w:bidi w:val="0"/>
        <w:snapToGrid/>
        <w:spacing w:line="400" w:lineRule="exact"/>
        <w:textAlignment w:val="auto"/>
        <w:outlineLvl w:val="9"/>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bCs/>
          <w:sz w:val="24"/>
          <w:szCs w:val="24"/>
        </w:rPr>
        <w:t>七、递交响应文件地点、方式</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val="0"/>
          <w:sz w:val="24"/>
          <w:szCs w:val="24"/>
        </w:rPr>
        <w:t>响应文件一式两份（一正一副，密封）</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交至</w:t>
      </w:r>
      <w:r>
        <w:rPr>
          <w:rFonts w:hint="eastAsia" w:ascii="仿宋_GB2312" w:hAnsi="仿宋_GB2312" w:eastAsia="仿宋_GB2312" w:cs="仿宋_GB2312"/>
          <w:b w:val="0"/>
          <w:bCs w:val="0"/>
          <w:sz w:val="24"/>
          <w:szCs w:val="24"/>
        </w:rPr>
        <w:t>三台县</w:t>
      </w:r>
      <w:r>
        <w:rPr>
          <w:rFonts w:hint="eastAsia" w:ascii="仿宋_GB2312" w:hAnsi="仿宋_GB2312" w:eastAsia="仿宋_GB2312" w:cs="仿宋_GB2312"/>
          <w:b w:val="0"/>
          <w:bCs w:val="0"/>
          <w:sz w:val="24"/>
          <w:szCs w:val="24"/>
          <w:lang w:eastAsia="zh-CN"/>
        </w:rPr>
        <w:t>中医院</w:t>
      </w:r>
      <w:r>
        <w:rPr>
          <w:rFonts w:hint="eastAsia" w:ascii="仿宋_GB2312" w:hAnsi="仿宋_GB2312" w:eastAsia="仿宋_GB2312" w:cs="仿宋_GB2312"/>
          <w:b w:val="0"/>
          <w:bCs w:val="0"/>
          <w:sz w:val="24"/>
          <w:szCs w:val="24"/>
        </w:rPr>
        <w:t>采购</w:t>
      </w:r>
      <w:r>
        <w:rPr>
          <w:rFonts w:hint="eastAsia" w:ascii="仿宋_GB2312" w:hAnsi="仿宋_GB2312" w:eastAsia="仿宋_GB2312" w:cs="仿宋_GB2312"/>
          <w:b w:val="0"/>
          <w:bCs w:val="0"/>
          <w:sz w:val="24"/>
          <w:szCs w:val="24"/>
          <w:lang w:val="en-US" w:eastAsia="zh-CN"/>
        </w:rPr>
        <w:t>科（杨老师</w:t>
      </w:r>
      <w:r>
        <w:rPr>
          <w:rFonts w:hint="eastAsia" w:ascii="仿宋_GB2312" w:hAnsi="仿宋_GB2312" w:eastAsia="仿宋_GB2312" w:cs="仿宋_GB2312"/>
          <w:b w:val="0"/>
          <w:bCs w:val="0"/>
          <w:sz w:val="24"/>
          <w:szCs w:val="24"/>
        </w:rPr>
        <w:t>收，收件电话：</w:t>
      </w:r>
      <w:r>
        <w:rPr>
          <w:rFonts w:hint="eastAsia" w:ascii="仿宋_GB2312" w:hAnsi="仿宋_GB2312" w:eastAsia="仿宋_GB2312" w:cs="仿宋_GB2312"/>
          <w:b w:val="0"/>
          <w:bCs w:val="0"/>
          <w:sz w:val="24"/>
          <w:szCs w:val="24"/>
          <w:lang w:val="en-US" w:eastAsia="zh-CN"/>
        </w:rPr>
        <w:t>13989277675</w:t>
      </w:r>
      <w:r>
        <w:rPr>
          <w:rFonts w:hint="eastAsia" w:ascii="仿宋_GB2312" w:hAnsi="仿宋_GB2312" w:eastAsia="仿宋_GB2312" w:cs="仿宋_GB2312"/>
          <w:b w:val="0"/>
          <w:bCs w:val="0"/>
          <w:sz w:val="24"/>
          <w:szCs w:val="24"/>
        </w:rPr>
        <w:t>）。逾期送达或密封和标注不符合比选邀请文件规定的响应文件恕不接受</w:t>
      </w:r>
      <w:r>
        <w:rPr>
          <w:rFonts w:hint="eastAsia" w:ascii="仿宋_GB2312" w:hAnsi="仿宋_GB2312" w:eastAsia="仿宋_GB2312" w:cs="仿宋_GB2312"/>
          <w:b w:val="0"/>
          <w:bCs w:val="0"/>
          <w:sz w:val="24"/>
          <w:szCs w:val="24"/>
          <w:lang w:eastAsia="zh-CN"/>
        </w:rPr>
        <w:t>。</w:t>
      </w:r>
    </w:p>
    <w:p>
      <w:pPr>
        <w:keepNext w:val="0"/>
        <w:keepLines w:val="0"/>
        <w:pageBreakBefore w:val="0"/>
        <w:widowControl w:val="0"/>
        <w:kinsoku/>
        <w:wordWrap/>
        <w:overflowPunct/>
        <w:topLinePunct w:val="0"/>
        <w:bidi w:val="0"/>
        <w:snapToGrid/>
        <w:spacing w:line="400" w:lineRule="exact"/>
        <w:textAlignment w:val="auto"/>
        <w:outlineLvl w:val="9"/>
        <w:rPr>
          <w:rFonts w:hint="eastAsia" w:ascii="仿宋_GB2312" w:hAnsi="仿宋_GB2312" w:eastAsia="仿宋_GB2312" w:cs="仿宋_GB2312"/>
          <w:bCs/>
          <w:kern w:val="0"/>
          <w:sz w:val="24"/>
          <w:szCs w:val="24"/>
        </w:rPr>
      </w:pPr>
      <w:r>
        <w:rPr>
          <w:rFonts w:hint="eastAsia" w:ascii="仿宋_GB2312" w:hAnsi="仿宋_GB2312" w:eastAsia="仿宋_GB2312" w:cs="仿宋_GB2312"/>
          <w:b/>
          <w:kern w:val="0"/>
          <w:sz w:val="24"/>
          <w:szCs w:val="24"/>
        </w:rPr>
        <w:t>八、</w:t>
      </w:r>
      <w:r>
        <w:rPr>
          <w:rFonts w:hint="eastAsia" w:ascii="仿宋_GB2312" w:hAnsi="仿宋_GB2312" w:eastAsia="仿宋_GB2312" w:cs="仿宋_GB2312"/>
          <w:b/>
          <w:bCs/>
          <w:sz w:val="24"/>
          <w:szCs w:val="24"/>
        </w:rPr>
        <w:t>比选时间：</w:t>
      </w:r>
      <w:r>
        <w:rPr>
          <w:rFonts w:hint="eastAsia" w:ascii="仿宋_GB2312" w:hAnsi="仿宋_GB2312" w:eastAsia="仿宋_GB2312" w:cs="仿宋_GB2312"/>
          <w:b w:val="0"/>
          <w:bCs w:val="0"/>
          <w:sz w:val="24"/>
          <w:szCs w:val="24"/>
        </w:rPr>
        <w:t>2022年</w:t>
      </w:r>
      <w:r>
        <w:rPr>
          <w:rFonts w:hint="eastAsia" w:ascii="仿宋_GB2312" w:hAnsi="仿宋_GB2312" w:eastAsia="仿宋_GB2312" w:cs="仿宋_GB2312"/>
          <w:b w:val="0"/>
          <w:bCs w:val="0"/>
          <w:sz w:val="24"/>
          <w:szCs w:val="24"/>
          <w:lang w:val="en-US" w:eastAsia="zh-CN"/>
        </w:rPr>
        <w:t>11</w:t>
      </w:r>
      <w:r>
        <w:rPr>
          <w:rFonts w:hint="eastAsia" w:ascii="仿宋_GB2312" w:hAnsi="仿宋_GB2312" w:eastAsia="仿宋_GB2312" w:cs="仿宋_GB2312"/>
          <w:b w:val="0"/>
          <w:bCs w:val="0"/>
          <w:sz w:val="24"/>
          <w:szCs w:val="24"/>
        </w:rPr>
        <w:t>月</w:t>
      </w:r>
      <w:r>
        <w:rPr>
          <w:rFonts w:hint="eastAsia" w:ascii="仿宋_GB2312" w:hAnsi="仿宋_GB2312" w:eastAsia="仿宋_GB2312" w:cs="仿宋_GB2312"/>
          <w:b w:val="0"/>
          <w:bCs w:val="0"/>
          <w:sz w:val="24"/>
          <w:szCs w:val="24"/>
          <w:lang w:val="en-US" w:eastAsia="zh-CN"/>
        </w:rPr>
        <w:t>3</w:t>
      </w:r>
      <w:r>
        <w:rPr>
          <w:rFonts w:hint="eastAsia" w:ascii="仿宋_GB2312" w:hAnsi="仿宋_GB2312" w:eastAsia="仿宋_GB2312" w:cs="仿宋_GB2312"/>
          <w:b w:val="0"/>
          <w:bCs w:val="0"/>
          <w:sz w:val="24"/>
          <w:szCs w:val="24"/>
        </w:rPr>
        <w:t>日1</w:t>
      </w:r>
      <w:r>
        <w:rPr>
          <w:rFonts w:hint="eastAsia" w:ascii="仿宋_GB2312" w:hAnsi="仿宋_GB2312" w:eastAsia="仿宋_GB2312" w:cs="仿宋_GB2312"/>
          <w:b w:val="0"/>
          <w:bCs w:val="0"/>
          <w:sz w:val="24"/>
          <w:szCs w:val="24"/>
          <w:lang w:val="en-US" w:eastAsia="zh-CN"/>
        </w:rPr>
        <w:t>4:5</w:t>
      </w:r>
      <w:r>
        <w:rPr>
          <w:rFonts w:hint="eastAsia" w:ascii="仿宋_GB2312" w:hAnsi="仿宋_GB2312" w:eastAsia="仿宋_GB2312" w:cs="仿宋_GB2312"/>
          <w:b w:val="0"/>
          <w:bCs w:val="0"/>
          <w:sz w:val="24"/>
          <w:szCs w:val="24"/>
        </w:rPr>
        <w:t>0分（北京时间）</w:t>
      </w:r>
      <w:r>
        <w:rPr>
          <w:rFonts w:hint="eastAsia" w:ascii="仿宋_GB2312" w:hAnsi="仿宋_GB2312" w:eastAsia="仿宋_GB2312" w:cs="仿宋_GB2312"/>
          <w:bCs/>
          <w:kern w:val="0"/>
          <w:sz w:val="24"/>
          <w:szCs w:val="24"/>
        </w:rPr>
        <w:t>。</w:t>
      </w:r>
    </w:p>
    <w:p>
      <w:pPr>
        <w:keepNext w:val="0"/>
        <w:keepLines w:val="0"/>
        <w:pageBreakBefore w:val="0"/>
        <w:widowControl w:val="0"/>
        <w:kinsoku/>
        <w:wordWrap/>
        <w:overflowPunct/>
        <w:topLinePunct w:val="0"/>
        <w:bidi w:val="0"/>
        <w:snapToGrid/>
        <w:spacing w:line="400" w:lineRule="exact"/>
        <w:textAlignment w:val="auto"/>
        <w:outlineLvl w:val="9"/>
        <w:rPr>
          <w:rFonts w:hint="eastAsia" w:ascii="仿宋_GB2312" w:hAnsi="仿宋_GB2312" w:eastAsia="仿宋_GB2312" w:cs="仿宋_GB2312"/>
          <w:bCs/>
          <w:kern w:val="0"/>
          <w:sz w:val="24"/>
          <w:szCs w:val="24"/>
        </w:rPr>
      </w:pPr>
      <w:r>
        <w:rPr>
          <w:rFonts w:hint="eastAsia" w:ascii="仿宋_GB2312" w:hAnsi="仿宋_GB2312" w:eastAsia="仿宋_GB2312" w:cs="仿宋_GB2312"/>
          <w:b/>
          <w:kern w:val="0"/>
          <w:sz w:val="24"/>
          <w:szCs w:val="24"/>
        </w:rPr>
        <w:t>九、</w:t>
      </w:r>
      <w:r>
        <w:rPr>
          <w:rFonts w:hint="eastAsia" w:ascii="仿宋_GB2312" w:hAnsi="仿宋_GB2312" w:eastAsia="仿宋_GB2312" w:cs="仿宋_GB2312"/>
          <w:b/>
          <w:bCs/>
          <w:sz w:val="24"/>
          <w:szCs w:val="24"/>
        </w:rPr>
        <w:t>比选地点：</w:t>
      </w:r>
      <w:r>
        <w:rPr>
          <w:rFonts w:hint="eastAsia" w:ascii="仿宋_GB2312" w:hAnsi="仿宋_GB2312" w:eastAsia="仿宋_GB2312" w:cs="仿宋_GB2312"/>
          <w:bCs/>
          <w:sz w:val="24"/>
          <w:szCs w:val="24"/>
        </w:rPr>
        <w:t>三台县</w:t>
      </w:r>
      <w:r>
        <w:rPr>
          <w:rFonts w:hint="eastAsia" w:ascii="仿宋_GB2312" w:hAnsi="仿宋_GB2312" w:eastAsia="仿宋_GB2312" w:cs="仿宋_GB2312"/>
          <w:bCs/>
          <w:sz w:val="24"/>
          <w:szCs w:val="24"/>
          <w:lang w:eastAsia="zh-CN"/>
        </w:rPr>
        <w:t>中医院</w:t>
      </w:r>
      <w:r>
        <w:rPr>
          <w:rFonts w:hint="eastAsia" w:ascii="仿宋_GB2312" w:hAnsi="仿宋_GB2312" w:eastAsia="仿宋_GB2312" w:cs="仿宋_GB2312"/>
          <w:bCs/>
          <w:sz w:val="24"/>
          <w:szCs w:val="24"/>
        </w:rPr>
        <w:t>行政楼</w:t>
      </w:r>
      <w:r>
        <w:rPr>
          <w:rFonts w:hint="eastAsia" w:ascii="仿宋_GB2312" w:hAnsi="仿宋_GB2312" w:eastAsia="仿宋_GB2312" w:cs="仿宋_GB2312"/>
          <w:bCs/>
          <w:sz w:val="24"/>
          <w:szCs w:val="24"/>
          <w:lang w:val="en-US" w:eastAsia="zh-CN"/>
        </w:rPr>
        <w:t>三楼</w:t>
      </w:r>
      <w:r>
        <w:rPr>
          <w:rFonts w:hint="eastAsia" w:ascii="仿宋_GB2312" w:hAnsi="仿宋_GB2312" w:eastAsia="仿宋_GB2312" w:cs="仿宋_GB2312"/>
          <w:bCs/>
          <w:sz w:val="24"/>
          <w:szCs w:val="24"/>
        </w:rPr>
        <w:t>会议室（如有变动，另行通知）</w:t>
      </w:r>
      <w:r>
        <w:rPr>
          <w:rFonts w:hint="eastAsia" w:ascii="仿宋_GB2312" w:hAnsi="仿宋_GB2312" w:eastAsia="仿宋_GB2312" w:cs="仿宋_GB2312"/>
          <w:bCs/>
          <w:kern w:val="0"/>
          <w:sz w:val="24"/>
          <w:szCs w:val="24"/>
        </w:rPr>
        <w:t>。</w:t>
      </w:r>
    </w:p>
    <w:p>
      <w:pPr>
        <w:keepNext w:val="0"/>
        <w:keepLines w:val="0"/>
        <w:pageBreakBefore w:val="0"/>
        <w:widowControl w:val="0"/>
        <w:kinsoku/>
        <w:wordWrap/>
        <w:overflowPunct/>
        <w:topLinePunct w:val="0"/>
        <w:bidi w:val="0"/>
        <w:snapToGrid/>
        <w:spacing w:line="400" w:lineRule="exact"/>
        <w:textAlignment w:val="auto"/>
        <w:outlineLvl w:val="9"/>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十、</w:t>
      </w:r>
      <w:r>
        <w:rPr>
          <w:rFonts w:hint="eastAsia" w:ascii="仿宋_GB2312" w:hAnsi="仿宋_GB2312" w:eastAsia="仿宋_GB2312" w:cs="仿宋_GB2312"/>
          <w:b/>
          <w:bCs/>
          <w:sz w:val="24"/>
          <w:szCs w:val="24"/>
        </w:rPr>
        <w:t>比选公告将在三台县</w:t>
      </w:r>
      <w:r>
        <w:rPr>
          <w:rFonts w:hint="eastAsia" w:ascii="仿宋_GB2312" w:hAnsi="仿宋_GB2312" w:eastAsia="仿宋_GB2312" w:cs="仿宋_GB2312"/>
          <w:b/>
          <w:bCs/>
          <w:sz w:val="24"/>
          <w:szCs w:val="24"/>
          <w:lang w:eastAsia="zh-CN"/>
        </w:rPr>
        <w:t>中医院</w:t>
      </w:r>
      <w:r>
        <w:rPr>
          <w:rFonts w:hint="eastAsia" w:ascii="仿宋_GB2312" w:hAnsi="仿宋_GB2312" w:eastAsia="仿宋_GB2312" w:cs="仿宋_GB2312"/>
          <w:b/>
          <w:bCs/>
          <w:sz w:val="24"/>
          <w:szCs w:val="24"/>
        </w:rPr>
        <w:t>官网以公告形式发布。</w:t>
      </w:r>
    </w:p>
    <w:p>
      <w:pPr>
        <w:keepNext w:val="0"/>
        <w:keepLines w:val="0"/>
        <w:pageBreakBefore w:val="0"/>
        <w:widowControl w:val="0"/>
        <w:kinsoku/>
        <w:wordWrap/>
        <w:overflowPunct/>
        <w:topLinePunct w:val="0"/>
        <w:bidi w:val="0"/>
        <w:snapToGrid/>
        <w:spacing w:line="400" w:lineRule="exact"/>
        <w:textAlignment w:val="auto"/>
        <w:outlineLvl w:val="9"/>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十一、</w:t>
      </w:r>
      <w:r>
        <w:rPr>
          <w:rFonts w:hint="eastAsia" w:ascii="仿宋_GB2312" w:hAnsi="仿宋_GB2312" w:eastAsia="仿宋_GB2312" w:cs="仿宋_GB2312"/>
          <w:b/>
          <w:bCs/>
          <w:sz w:val="24"/>
          <w:szCs w:val="24"/>
        </w:rPr>
        <w:t>联系方式</w:t>
      </w:r>
    </w:p>
    <w:p>
      <w:pPr>
        <w:keepNext w:val="0"/>
        <w:keepLines w:val="0"/>
        <w:pageBreakBefore w:val="0"/>
        <w:widowControl w:val="0"/>
        <w:tabs>
          <w:tab w:val="left" w:pos="2310"/>
        </w:tabs>
        <w:kinsoku/>
        <w:wordWrap/>
        <w:overflowPunct/>
        <w:topLinePunct w:val="0"/>
        <w:bidi w:val="0"/>
        <w:snapToGrid/>
        <w:spacing w:line="400" w:lineRule="exact"/>
        <w:ind w:left="560" w:right="420" w:rightChars="200"/>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采购人：三台县</w:t>
      </w:r>
      <w:r>
        <w:rPr>
          <w:rFonts w:hint="eastAsia" w:ascii="仿宋_GB2312" w:hAnsi="仿宋_GB2312" w:eastAsia="仿宋_GB2312" w:cs="仿宋_GB2312"/>
          <w:sz w:val="24"/>
          <w:szCs w:val="24"/>
          <w:lang w:eastAsia="zh-CN"/>
        </w:rPr>
        <w:t>中医院</w:t>
      </w:r>
    </w:p>
    <w:p>
      <w:pPr>
        <w:pStyle w:val="43"/>
        <w:keepNext w:val="0"/>
        <w:keepLines w:val="0"/>
        <w:pageBreakBefore w:val="0"/>
        <w:widowControl w:val="0"/>
        <w:kinsoku/>
        <w:wordWrap/>
        <w:overflowPunct/>
        <w:topLinePunct w:val="0"/>
        <w:bidi w:val="0"/>
        <w:snapToGrid/>
        <w:spacing w:line="400" w:lineRule="exact"/>
        <w:ind w:left="560" w:firstLine="0" w:firstLineChars="0"/>
        <w:contextualSpacing/>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  址：三台县潼川镇</w:t>
      </w:r>
      <w:r>
        <w:rPr>
          <w:rFonts w:hint="eastAsia" w:ascii="仿宋_GB2312" w:hAnsi="仿宋_GB2312" w:eastAsia="仿宋_GB2312" w:cs="仿宋_GB2312"/>
          <w:sz w:val="24"/>
          <w:szCs w:val="24"/>
          <w:lang w:val="en-US" w:eastAsia="zh-CN"/>
        </w:rPr>
        <w:t>学街31</w:t>
      </w:r>
      <w:r>
        <w:rPr>
          <w:rFonts w:hint="eastAsia" w:ascii="仿宋_GB2312" w:hAnsi="仿宋_GB2312" w:eastAsia="仿宋_GB2312" w:cs="仿宋_GB2312"/>
          <w:sz w:val="24"/>
          <w:szCs w:val="24"/>
        </w:rPr>
        <w:t>号</w:t>
      </w:r>
    </w:p>
    <w:p>
      <w:pPr>
        <w:pStyle w:val="43"/>
        <w:keepNext w:val="0"/>
        <w:keepLines w:val="0"/>
        <w:pageBreakBefore w:val="0"/>
        <w:widowControl w:val="0"/>
        <w:kinsoku/>
        <w:wordWrap/>
        <w:overflowPunct/>
        <w:topLinePunct w:val="0"/>
        <w:bidi w:val="0"/>
        <w:snapToGrid/>
        <w:spacing w:line="400" w:lineRule="exact"/>
        <w:ind w:left="560" w:firstLine="0" w:firstLineChars="0"/>
        <w:contextualSpacing/>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杨</w:t>
      </w:r>
      <w:r>
        <w:rPr>
          <w:rFonts w:hint="eastAsia" w:ascii="仿宋_GB2312" w:hAnsi="仿宋_GB2312" w:eastAsia="仿宋_GB2312" w:cs="仿宋_GB2312"/>
          <w:sz w:val="24"/>
          <w:szCs w:val="24"/>
        </w:rPr>
        <w:t>老师</w:t>
      </w:r>
      <w:bookmarkStart w:id="14" w:name="_GoBack"/>
      <w:bookmarkEnd w:id="14"/>
    </w:p>
    <w:p>
      <w:pPr>
        <w:pStyle w:val="43"/>
        <w:keepNext w:val="0"/>
        <w:keepLines w:val="0"/>
        <w:pageBreakBefore w:val="0"/>
        <w:widowControl w:val="0"/>
        <w:kinsoku/>
        <w:wordWrap/>
        <w:overflowPunct/>
        <w:topLinePunct w:val="0"/>
        <w:bidi w:val="0"/>
        <w:snapToGrid/>
        <w:spacing w:line="400" w:lineRule="exact"/>
        <w:ind w:left="560" w:firstLine="0" w:firstLineChars="0"/>
        <w:contextualSpacing/>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sz w:val="24"/>
          <w:szCs w:val="24"/>
        </w:rPr>
        <w:t>电  话：</w:t>
      </w:r>
      <w:bookmarkStart w:id="1" w:name="_Toc418004672"/>
      <w:r>
        <w:rPr>
          <w:rFonts w:hint="eastAsia" w:ascii="仿宋_GB2312" w:hAnsi="仿宋_GB2312" w:eastAsia="仿宋_GB2312" w:cs="仿宋_GB2312"/>
          <w:sz w:val="24"/>
          <w:szCs w:val="24"/>
          <w:lang w:val="en-US" w:eastAsia="zh-CN"/>
        </w:rPr>
        <w:t>0816 5261268</w:t>
      </w:r>
    </w:p>
    <w:bookmarkEnd w:id="1"/>
    <w:p>
      <w:pPr>
        <w:keepNext w:val="0"/>
        <w:keepLines w:val="0"/>
        <w:pageBreakBefore w:val="0"/>
        <w:widowControl w:val="0"/>
        <w:kinsoku/>
        <w:wordWrap/>
        <w:overflowPunct/>
        <w:topLinePunct w:val="0"/>
        <w:bidi w:val="0"/>
        <w:snapToGrid/>
        <w:spacing w:line="400" w:lineRule="exact"/>
        <w:textAlignment w:val="auto"/>
        <w:outlineLvl w:val="9"/>
        <w:rPr>
          <w:rFonts w:hint="eastAsia" w:ascii="仿宋_GB2312" w:hAnsi="仿宋_GB2312" w:eastAsia="仿宋_GB2312" w:cs="仿宋_GB2312"/>
          <w:b/>
          <w:sz w:val="24"/>
          <w:szCs w:val="24"/>
        </w:rPr>
      </w:pPr>
      <w:bookmarkStart w:id="2" w:name="_Toc52036324"/>
      <w:r>
        <w:rPr>
          <w:rFonts w:hint="eastAsia" w:ascii="仿宋_GB2312" w:hAnsi="仿宋_GB2312" w:eastAsia="仿宋_GB2312" w:cs="仿宋_GB2312"/>
          <w:b/>
          <w:sz w:val="24"/>
          <w:szCs w:val="24"/>
        </w:rPr>
        <w:br w:type="page"/>
      </w:r>
    </w:p>
    <w:p>
      <w:pPr>
        <w:widowControl/>
        <w:spacing w:line="360" w:lineRule="auto"/>
        <w:jc w:val="left"/>
        <w:rPr>
          <w:rFonts w:ascii="Times New Roman" w:hAnsi="Times New Roman"/>
          <w:b/>
          <w:kern w:val="0"/>
          <w:sz w:val="24"/>
          <w:szCs w:val="28"/>
        </w:rPr>
      </w:pPr>
      <w:r>
        <w:rPr>
          <w:rFonts w:ascii="Times New Roman" w:hAnsi="Times New Roman"/>
          <w:b/>
          <w:sz w:val="36"/>
          <w:szCs w:val="36"/>
        </w:rPr>
        <w:t>第</w:t>
      </w:r>
      <w:r>
        <w:rPr>
          <w:rFonts w:hint="eastAsia" w:ascii="Times New Roman" w:hAnsi="Times New Roman"/>
          <w:b/>
          <w:sz w:val="36"/>
          <w:szCs w:val="36"/>
        </w:rPr>
        <w:t>二</w:t>
      </w:r>
      <w:r>
        <w:rPr>
          <w:rFonts w:ascii="Times New Roman" w:hAnsi="Times New Roman"/>
          <w:b/>
          <w:sz w:val="36"/>
          <w:szCs w:val="36"/>
        </w:rPr>
        <w:t>章  比选项目技术、服务、及其他商务要求</w:t>
      </w:r>
      <w:bookmarkEnd w:id="2"/>
    </w:p>
    <w:p>
      <w:pPr>
        <w:spacing w:line="360" w:lineRule="auto"/>
        <w:rPr>
          <w:rFonts w:hint="eastAsia" w:asciiTheme="minorEastAsia" w:hAnsiTheme="minorEastAsia" w:eastAsiaTheme="minorEastAsia"/>
          <w:b/>
          <w:kern w:val="0"/>
          <w:sz w:val="28"/>
          <w:szCs w:val="28"/>
        </w:rPr>
      </w:pPr>
      <w:r>
        <w:rPr>
          <w:rFonts w:hint="eastAsia" w:asciiTheme="minorEastAsia" w:hAnsiTheme="minorEastAsia" w:eastAsiaTheme="minorEastAsia"/>
          <w:b/>
          <w:kern w:val="0"/>
          <w:sz w:val="28"/>
          <w:szCs w:val="28"/>
        </w:rPr>
        <w:t>一、技术参数及要求</w:t>
      </w:r>
    </w:p>
    <w:p>
      <w:pPr>
        <w:spacing w:line="360" w:lineRule="auto"/>
        <w:jc w:val="center"/>
        <w:rPr>
          <w:b/>
          <w:bCs/>
          <w:sz w:val="24"/>
        </w:rPr>
      </w:pPr>
      <w:r>
        <w:rPr>
          <w:rFonts w:hint="eastAsia"/>
          <w:b/>
          <w:bCs/>
          <w:sz w:val="24"/>
        </w:rPr>
        <w:t>视频喉镜（配窥视手柄）技术规格要求</w:t>
      </w:r>
    </w:p>
    <w:p>
      <w:pPr>
        <w:spacing w:line="360" w:lineRule="auto"/>
        <w:rPr>
          <w:rFonts w:ascii="宋体" w:hAnsi="宋体"/>
          <w:b/>
          <w:bCs/>
        </w:rPr>
      </w:pPr>
      <w:r>
        <w:rPr>
          <w:rFonts w:hint="eastAsia" w:ascii="宋体" w:hAnsi="宋体"/>
          <w:b/>
          <w:bCs/>
        </w:rPr>
        <w:t>一：主机技术要求</w:t>
      </w:r>
    </w:p>
    <w:p>
      <w:pPr>
        <w:spacing w:line="360" w:lineRule="auto"/>
        <w:rPr>
          <w:rFonts w:ascii="宋体" w:hAnsi="宋体"/>
        </w:rPr>
      </w:pPr>
      <w:r>
        <w:rPr>
          <w:rFonts w:hint="eastAsia" w:ascii="宋体" w:hAnsi="宋体"/>
        </w:rPr>
        <w:t>▲1</w:t>
      </w:r>
      <w:r>
        <w:rPr>
          <w:rFonts w:hint="eastAsia" w:ascii="宋体" w:hAnsi="宋体"/>
          <w:lang w:eastAsia="zh-CN"/>
        </w:rPr>
        <w:t>、</w:t>
      </w:r>
      <w:r>
        <w:rPr>
          <w:rFonts w:hint="eastAsia" w:ascii="宋体" w:hAnsi="宋体"/>
        </w:rPr>
        <w:t>采用智能主控芯片，可无缝兼容窥视叶片手柄、硬管手柄、软管手柄，无需转接。</w:t>
      </w:r>
    </w:p>
    <w:p>
      <w:pPr>
        <w:spacing w:line="360" w:lineRule="auto"/>
        <w:rPr>
          <w:rFonts w:ascii="宋体" w:hAnsi="宋体"/>
        </w:rPr>
      </w:pPr>
      <w:r>
        <w:rPr>
          <w:rFonts w:hint="eastAsia" w:ascii="宋体" w:hAnsi="宋体"/>
        </w:rPr>
        <w:t>2</w:t>
      </w:r>
      <w:r>
        <w:rPr>
          <w:rFonts w:hint="eastAsia" w:ascii="宋体" w:hAnsi="宋体"/>
          <w:lang w:eastAsia="zh-CN"/>
        </w:rPr>
        <w:t>、</w:t>
      </w:r>
      <w:r>
        <w:rPr>
          <w:rFonts w:hint="eastAsia" w:ascii="宋体" w:hAnsi="宋体"/>
        </w:rPr>
        <w:t>采用广角高亮显示屏，视场角≥160°。显示器能上下0º～130º转动，左右0º～270º转动，以方便特殊体位的操作</w:t>
      </w:r>
    </w:p>
    <w:p>
      <w:pPr>
        <w:spacing w:line="360" w:lineRule="auto"/>
        <w:rPr>
          <w:rFonts w:ascii="宋体" w:hAnsi="宋体"/>
        </w:rPr>
      </w:pPr>
      <w:r>
        <w:rPr>
          <w:rFonts w:hint="eastAsia" w:ascii="宋体" w:hAnsi="宋体"/>
        </w:rPr>
        <w:t>3</w:t>
      </w:r>
      <w:r>
        <w:rPr>
          <w:rFonts w:hint="eastAsia" w:ascii="宋体" w:hAnsi="宋体"/>
          <w:lang w:eastAsia="zh-CN"/>
        </w:rPr>
        <w:t>、</w:t>
      </w:r>
      <w:r>
        <w:rPr>
          <w:rFonts w:hint="eastAsia" w:ascii="宋体" w:hAnsi="宋体"/>
        </w:rPr>
        <w:t>主机屏幕≥3.5寸，显示分辨率≥640×480。</w:t>
      </w:r>
    </w:p>
    <w:p>
      <w:pPr>
        <w:spacing w:line="360" w:lineRule="auto"/>
        <w:rPr>
          <w:rFonts w:ascii="宋体" w:hAnsi="宋体"/>
        </w:rPr>
      </w:pPr>
      <w:r>
        <w:rPr>
          <w:rFonts w:hint="eastAsia" w:ascii="宋体" w:hAnsi="宋体"/>
        </w:rPr>
        <w:t>▲4</w:t>
      </w:r>
      <w:r>
        <w:rPr>
          <w:rFonts w:hint="eastAsia" w:ascii="宋体" w:hAnsi="宋体"/>
          <w:lang w:eastAsia="zh-CN"/>
        </w:rPr>
        <w:t>、</w:t>
      </w:r>
      <w:r>
        <w:rPr>
          <w:rFonts w:hint="eastAsia" w:ascii="宋体" w:hAnsi="宋体"/>
        </w:rPr>
        <w:t>屏幕采用医用电阻触摸屏。</w:t>
      </w:r>
    </w:p>
    <w:p>
      <w:pPr>
        <w:spacing w:line="360" w:lineRule="auto"/>
        <w:rPr>
          <w:rFonts w:ascii="宋体" w:hAnsi="宋体"/>
        </w:rPr>
      </w:pPr>
      <w:r>
        <w:rPr>
          <w:rFonts w:hint="eastAsia" w:ascii="宋体" w:hAnsi="宋体"/>
        </w:rPr>
        <w:t>5</w:t>
      </w:r>
      <w:r>
        <w:rPr>
          <w:rFonts w:hint="eastAsia" w:ascii="宋体" w:hAnsi="宋体"/>
          <w:lang w:eastAsia="zh-CN"/>
        </w:rPr>
        <w:t>、</w:t>
      </w:r>
      <w:r>
        <w:rPr>
          <w:rFonts w:hint="eastAsia" w:ascii="宋体" w:hAnsi="宋体"/>
        </w:rPr>
        <w:t>可通过有线或无线方式外接显示器，实现同屏实时显示传输。</w:t>
      </w:r>
    </w:p>
    <w:p>
      <w:pPr>
        <w:spacing w:line="360" w:lineRule="auto"/>
        <w:rPr>
          <w:rFonts w:ascii="宋体" w:hAnsi="宋体"/>
        </w:rPr>
      </w:pPr>
      <w:r>
        <w:rPr>
          <w:rFonts w:hint="eastAsia" w:ascii="宋体" w:hAnsi="宋体"/>
        </w:rPr>
        <w:t>▲6</w:t>
      </w:r>
      <w:r>
        <w:rPr>
          <w:rFonts w:hint="eastAsia" w:ascii="宋体" w:hAnsi="宋体"/>
          <w:lang w:eastAsia="zh-CN"/>
        </w:rPr>
        <w:t>、</w:t>
      </w:r>
      <w:r>
        <w:rPr>
          <w:rFonts w:hint="eastAsia" w:ascii="宋体" w:hAnsi="宋体"/>
        </w:rPr>
        <w:t>主机内置多媒体系统，可拍照、录像、录音，可在主机上直接阅读、回放。</w:t>
      </w:r>
    </w:p>
    <w:p>
      <w:pPr>
        <w:spacing w:line="360" w:lineRule="auto"/>
        <w:rPr>
          <w:rFonts w:ascii="宋体" w:hAnsi="宋体"/>
        </w:rPr>
      </w:pPr>
      <w:r>
        <w:rPr>
          <w:rFonts w:hint="eastAsia" w:ascii="宋体" w:hAnsi="宋体"/>
          <w:lang w:val="en-US" w:eastAsia="zh-CN"/>
        </w:rPr>
        <w:t>7</w:t>
      </w:r>
      <w:r>
        <w:rPr>
          <w:rFonts w:hint="eastAsia" w:ascii="宋体" w:hAnsi="宋体"/>
          <w:lang w:eastAsia="zh-CN"/>
        </w:rPr>
        <w:t>、</w:t>
      </w:r>
      <w:r>
        <w:rPr>
          <w:rFonts w:hint="eastAsia" w:ascii="宋体" w:hAnsi="宋体"/>
        </w:rPr>
        <w:t>主机内置操作使用视频。</w:t>
      </w:r>
    </w:p>
    <w:p>
      <w:pPr>
        <w:spacing w:line="360" w:lineRule="auto"/>
        <w:rPr>
          <w:rFonts w:ascii="宋体" w:hAnsi="宋体"/>
        </w:rPr>
      </w:pPr>
      <w:r>
        <w:rPr>
          <w:rFonts w:hint="eastAsia" w:ascii="宋体" w:hAnsi="宋体"/>
          <w:lang w:val="en-US" w:eastAsia="zh-CN"/>
        </w:rPr>
        <w:t>8</w:t>
      </w:r>
      <w:r>
        <w:rPr>
          <w:rFonts w:hint="eastAsia" w:ascii="宋体" w:hAnsi="宋体"/>
          <w:lang w:eastAsia="zh-CN"/>
        </w:rPr>
        <w:t>、</w:t>
      </w:r>
      <w:r>
        <w:rPr>
          <w:rFonts w:hint="eastAsia" w:ascii="宋体" w:hAnsi="宋体"/>
        </w:rPr>
        <w:t>具有户外/户内环境模式，以适应不同插管环境。</w:t>
      </w:r>
    </w:p>
    <w:p>
      <w:pPr>
        <w:spacing w:line="360" w:lineRule="auto"/>
        <w:rPr>
          <w:rFonts w:ascii="宋体" w:hAnsi="宋体"/>
        </w:rPr>
      </w:pPr>
      <w:r>
        <w:rPr>
          <w:rFonts w:hint="eastAsia" w:ascii="宋体" w:hAnsi="宋体"/>
          <w:lang w:val="en-US" w:eastAsia="zh-CN"/>
        </w:rPr>
        <w:t>9、</w:t>
      </w:r>
      <w:r>
        <w:rPr>
          <w:rFonts w:hint="eastAsia" w:ascii="宋体" w:hAnsi="宋体"/>
        </w:rPr>
        <w:t>：内置锂电池，容量不低于2500mAh，工作时间≥240分钟，具备电量管理功能。</w:t>
      </w:r>
    </w:p>
    <w:p>
      <w:pPr>
        <w:spacing w:line="360" w:lineRule="auto"/>
        <w:rPr>
          <w:rFonts w:ascii="宋体" w:hAnsi="宋体"/>
        </w:rPr>
      </w:pPr>
      <w:r>
        <w:rPr>
          <w:rFonts w:hint="eastAsia" w:ascii="宋体" w:hAnsi="宋体"/>
          <w:lang w:val="en-US" w:eastAsia="zh-CN"/>
        </w:rPr>
        <w:t>10</w:t>
      </w:r>
      <w:r>
        <w:rPr>
          <w:rFonts w:hint="eastAsia" w:ascii="宋体" w:hAnsi="宋体"/>
        </w:rPr>
        <w:t>：主机与各种手柄均可带电一键插拔连接、分离，无需旋转，方便临床使用及携带。</w:t>
      </w:r>
    </w:p>
    <w:p>
      <w:pPr>
        <w:spacing w:line="360" w:lineRule="auto"/>
        <w:rPr>
          <w:rFonts w:ascii="宋体" w:hAnsi="宋体"/>
          <w:b/>
          <w:bCs/>
        </w:rPr>
      </w:pPr>
      <w:r>
        <w:rPr>
          <w:rFonts w:hint="eastAsia" w:ascii="宋体" w:hAnsi="宋体"/>
          <w:b/>
          <w:bCs/>
        </w:rPr>
        <w:t>二：窥视叶片手柄 技术规格要求</w:t>
      </w:r>
    </w:p>
    <w:p>
      <w:pPr>
        <w:spacing w:line="360" w:lineRule="auto"/>
        <w:rPr>
          <w:rFonts w:ascii="宋体" w:hAnsi="宋体"/>
        </w:rPr>
      </w:pPr>
      <w:r>
        <w:rPr>
          <w:rFonts w:hint="eastAsia" w:ascii="宋体" w:hAnsi="宋体"/>
        </w:rPr>
        <w:t>1</w:t>
      </w:r>
      <w:r>
        <w:rPr>
          <w:rFonts w:hint="eastAsia" w:ascii="宋体" w:hAnsi="宋体"/>
          <w:lang w:eastAsia="zh-CN"/>
        </w:rPr>
        <w:t>、</w:t>
      </w:r>
      <w:r>
        <w:rPr>
          <w:rFonts w:hint="eastAsia" w:ascii="宋体" w:hAnsi="宋体"/>
        </w:rPr>
        <w:t>采用数字电子成像技术，成像能力不低于30万像素。</w:t>
      </w:r>
    </w:p>
    <w:p>
      <w:pPr>
        <w:spacing w:line="360" w:lineRule="auto"/>
        <w:rPr>
          <w:rFonts w:ascii="宋体" w:hAnsi="宋体"/>
        </w:rPr>
      </w:pPr>
      <w:r>
        <w:rPr>
          <w:rFonts w:hint="eastAsia" w:ascii="宋体" w:hAnsi="宋体"/>
        </w:rPr>
        <w:t>2</w:t>
      </w:r>
      <w:r>
        <w:rPr>
          <w:rFonts w:hint="eastAsia" w:ascii="宋体" w:hAnsi="宋体"/>
          <w:lang w:eastAsia="zh-CN"/>
        </w:rPr>
        <w:t>、</w:t>
      </w:r>
      <w:r>
        <w:rPr>
          <w:rFonts w:hint="eastAsia" w:ascii="宋体" w:hAnsi="宋体"/>
        </w:rPr>
        <w:t>采用可调节的多功能手柄，一支手柄可满足婴幼儿、小儿、成人的插管需求，无需更换。</w:t>
      </w:r>
    </w:p>
    <w:p>
      <w:pPr>
        <w:spacing w:line="360" w:lineRule="auto"/>
        <w:rPr>
          <w:rFonts w:ascii="宋体" w:hAnsi="宋体"/>
        </w:rPr>
      </w:pPr>
      <w:r>
        <w:rPr>
          <w:rFonts w:hint="eastAsia" w:ascii="宋体" w:hAnsi="宋体"/>
        </w:rPr>
        <w:t>3</w:t>
      </w:r>
      <w:r>
        <w:rPr>
          <w:rFonts w:hint="eastAsia" w:ascii="宋体" w:hAnsi="宋体"/>
          <w:lang w:eastAsia="zh-CN"/>
        </w:rPr>
        <w:t>、</w:t>
      </w:r>
      <w:r>
        <w:rPr>
          <w:rFonts w:hint="eastAsia" w:ascii="宋体" w:hAnsi="宋体"/>
        </w:rPr>
        <w:t>手柄滑竿采用304不锈钢材质，可承重90KG拉力。</w:t>
      </w:r>
    </w:p>
    <w:p>
      <w:pPr>
        <w:spacing w:line="360" w:lineRule="auto"/>
        <w:rPr>
          <w:rFonts w:ascii="宋体" w:hAnsi="宋体"/>
        </w:rPr>
      </w:pPr>
      <w:r>
        <w:rPr>
          <w:rFonts w:hint="eastAsia" w:ascii="宋体" w:hAnsi="宋体"/>
        </w:rPr>
        <w:t>4</w:t>
      </w:r>
      <w:r>
        <w:rPr>
          <w:rFonts w:hint="eastAsia" w:ascii="宋体" w:hAnsi="宋体"/>
          <w:lang w:eastAsia="zh-CN"/>
        </w:rPr>
        <w:t>、</w:t>
      </w:r>
      <w:r>
        <w:rPr>
          <w:rFonts w:hint="eastAsia" w:ascii="宋体" w:hAnsi="宋体"/>
        </w:rPr>
        <w:t>手柄前端配备智能温控加热板，非LED灯加热，以实现即时防雾功能。</w:t>
      </w:r>
    </w:p>
    <w:p>
      <w:pPr>
        <w:spacing w:line="360" w:lineRule="auto"/>
        <w:rPr>
          <w:rFonts w:ascii="宋体" w:hAnsi="宋体"/>
        </w:rPr>
      </w:pPr>
      <w:r>
        <w:rPr>
          <w:rFonts w:hint="eastAsia" w:ascii="宋体" w:hAnsi="宋体"/>
        </w:rPr>
        <w:t>5</w:t>
      </w:r>
      <w:r>
        <w:rPr>
          <w:rFonts w:hint="eastAsia" w:ascii="宋体" w:hAnsi="宋体"/>
          <w:lang w:eastAsia="zh-CN"/>
        </w:rPr>
        <w:t>、</w:t>
      </w:r>
      <w:r>
        <w:rPr>
          <w:rFonts w:hint="eastAsia" w:ascii="宋体" w:hAnsi="宋体"/>
        </w:rPr>
        <w:t>照明采用1个LED灯，亮度≥1000LUX。</w:t>
      </w:r>
    </w:p>
    <w:p>
      <w:pPr>
        <w:spacing w:line="360" w:lineRule="auto"/>
        <w:rPr>
          <w:rFonts w:ascii="宋体" w:hAnsi="宋体"/>
        </w:rPr>
      </w:pPr>
      <w:r>
        <w:rPr>
          <w:rFonts w:hint="eastAsia" w:ascii="宋体" w:hAnsi="宋体"/>
        </w:rPr>
        <w:t>▲6</w:t>
      </w:r>
      <w:r>
        <w:rPr>
          <w:rFonts w:hint="eastAsia" w:ascii="宋体" w:hAnsi="宋体"/>
          <w:lang w:eastAsia="zh-CN"/>
        </w:rPr>
        <w:t>、</w:t>
      </w:r>
      <w:r>
        <w:rPr>
          <w:rFonts w:hint="eastAsia" w:ascii="宋体" w:hAnsi="宋体"/>
        </w:rPr>
        <w:t>手柄可同时适配一次性喉镜片和可重复使用窥视叶片，型号分别为：SS（婴幼儿型）、S（儿童型）、M（成人型）、L（成人大号型）。</w:t>
      </w:r>
    </w:p>
    <w:p>
      <w:pPr>
        <w:spacing w:line="360" w:lineRule="auto"/>
        <w:rPr>
          <w:rFonts w:ascii="宋体" w:hAnsi="宋体"/>
        </w:rPr>
      </w:pPr>
      <w:r>
        <w:rPr>
          <w:rFonts w:hint="eastAsia" w:ascii="宋体" w:hAnsi="宋体"/>
        </w:rPr>
        <w:t>7</w:t>
      </w:r>
      <w:r>
        <w:rPr>
          <w:rFonts w:hint="eastAsia" w:ascii="宋体" w:hAnsi="宋体"/>
          <w:lang w:eastAsia="zh-CN"/>
        </w:rPr>
        <w:t>、</w:t>
      </w:r>
      <w:r>
        <w:rPr>
          <w:rFonts w:hint="eastAsia" w:ascii="宋体" w:hAnsi="宋体"/>
        </w:rPr>
        <w:t>一次性喉镜片及可重复使用窥视叶片均作磨砂防反光处理，操作视野更为清晰。</w:t>
      </w:r>
    </w:p>
    <w:p>
      <w:pPr>
        <w:spacing w:line="360" w:lineRule="auto"/>
        <w:rPr>
          <w:rFonts w:ascii="宋体" w:hAnsi="宋体"/>
        </w:rPr>
      </w:pPr>
      <w:r>
        <w:rPr>
          <w:rFonts w:hint="eastAsia" w:ascii="宋体" w:hAnsi="宋体"/>
        </w:rPr>
        <w:t>8</w:t>
      </w:r>
      <w:r>
        <w:rPr>
          <w:rFonts w:hint="eastAsia" w:ascii="宋体" w:hAnsi="宋体"/>
          <w:lang w:eastAsia="zh-CN"/>
        </w:rPr>
        <w:t>、</w:t>
      </w:r>
      <w:r>
        <w:rPr>
          <w:rFonts w:hint="eastAsia" w:ascii="宋体" w:hAnsi="宋体"/>
        </w:rPr>
        <w:t>最小开口度≤13mm，适合不同体型插管患者。</w:t>
      </w:r>
    </w:p>
    <w:p>
      <w:pPr>
        <w:spacing w:line="360" w:lineRule="auto"/>
        <w:rPr>
          <w:rFonts w:ascii="宋体" w:hAnsi="宋体"/>
        </w:rPr>
      </w:pPr>
      <w:r>
        <w:rPr>
          <w:rFonts w:hint="eastAsia" w:ascii="宋体" w:hAnsi="宋体"/>
        </w:rPr>
        <w:t>9</w:t>
      </w:r>
      <w:r>
        <w:rPr>
          <w:rFonts w:hint="eastAsia" w:ascii="宋体" w:hAnsi="宋体"/>
          <w:lang w:eastAsia="zh-CN"/>
        </w:rPr>
        <w:t>、</w:t>
      </w:r>
      <w:r>
        <w:rPr>
          <w:rFonts w:hint="eastAsia" w:ascii="宋体" w:hAnsi="宋体"/>
        </w:rPr>
        <w:t>具备耐磨、防跌落、防泼洒性能，以满足特殊抢救环境使用。</w:t>
      </w:r>
    </w:p>
    <w:p>
      <w:pPr>
        <w:spacing w:line="360" w:lineRule="auto"/>
        <w:rPr>
          <w:rFonts w:ascii="宋体" w:hAnsi="宋体"/>
        </w:rPr>
      </w:pPr>
      <w:r>
        <w:rPr>
          <w:rFonts w:hint="eastAsia" w:ascii="宋体" w:hAnsi="宋体"/>
        </w:rPr>
        <w:t>10</w:t>
      </w:r>
      <w:r>
        <w:rPr>
          <w:rFonts w:hint="eastAsia" w:ascii="宋体" w:hAnsi="宋体"/>
          <w:lang w:eastAsia="zh-CN"/>
        </w:rPr>
        <w:t>、</w:t>
      </w:r>
      <w:r>
        <w:rPr>
          <w:rFonts w:hint="eastAsia" w:ascii="宋体" w:hAnsi="宋体"/>
        </w:rPr>
        <w:t>与主机之间的连接方式采用一键插拔，无需旋转。</w:t>
      </w:r>
    </w:p>
    <w:p>
      <w:pPr>
        <w:jc w:val="center"/>
        <w:rPr>
          <w:rFonts w:hint="eastAsia" w:ascii="宋体" w:hAnsi="宋体" w:eastAsia="宋体" w:cs="宋体"/>
          <w:b/>
          <w:bCs/>
          <w:sz w:val="24"/>
        </w:rPr>
      </w:pPr>
    </w:p>
    <w:p>
      <w:pPr>
        <w:jc w:val="center"/>
        <w:rPr>
          <w:rFonts w:hint="eastAsia" w:ascii="宋体" w:hAnsi="宋体" w:eastAsia="宋体" w:cs="宋体"/>
          <w:b/>
          <w:bCs/>
          <w:sz w:val="24"/>
        </w:rPr>
      </w:pPr>
    </w:p>
    <w:p>
      <w:pPr>
        <w:jc w:val="center"/>
        <w:rPr>
          <w:rFonts w:hint="eastAsia" w:ascii="宋体" w:hAnsi="宋体" w:eastAsia="宋体" w:cs="宋体"/>
          <w:b/>
          <w:bCs/>
          <w:sz w:val="24"/>
        </w:rPr>
      </w:pPr>
    </w:p>
    <w:p>
      <w:pPr>
        <w:jc w:val="center"/>
        <w:rPr>
          <w:rFonts w:ascii="宋体" w:hAnsi="宋体" w:eastAsia="宋体" w:cs="宋体"/>
          <w:b/>
          <w:bCs/>
          <w:sz w:val="24"/>
        </w:rPr>
      </w:pPr>
      <w:r>
        <w:rPr>
          <w:rFonts w:hint="eastAsia" w:ascii="宋体" w:hAnsi="宋体" w:eastAsia="宋体" w:cs="宋体"/>
          <w:b/>
          <w:bCs/>
          <w:sz w:val="24"/>
        </w:rPr>
        <w:t>视频喉镜（配窥视手柄）配置清单</w:t>
      </w:r>
    </w:p>
    <w:p>
      <w:pPr>
        <w:rPr>
          <w:rFonts w:ascii="宋体" w:hAnsi="宋体" w:eastAsia="宋体" w:cs="宋体"/>
          <w:b/>
          <w:bCs/>
          <w:sz w:val="24"/>
        </w:rPr>
      </w:pPr>
    </w:p>
    <w:tbl>
      <w:tblPr>
        <w:tblStyle w:val="21"/>
        <w:tblW w:w="8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4107"/>
        <w:gridCol w:w="1280"/>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4" w:type="dxa"/>
            <w:vAlign w:val="center"/>
          </w:tcPr>
          <w:p>
            <w:pPr>
              <w:jc w:val="center"/>
              <w:rPr>
                <w:rFonts w:ascii="宋体" w:hAnsi="宋体" w:eastAsia="宋体" w:cs="宋体"/>
                <w:b/>
                <w:bCs/>
                <w:sz w:val="24"/>
              </w:rPr>
            </w:pPr>
            <w:r>
              <w:rPr>
                <w:rFonts w:hint="eastAsia" w:ascii="宋体" w:hAnsi="宋体" w:eastAsia="宋体" w:cs="宋体"/>
                <w:b/>
                <w:bCs/>
                <w:sz w:val="24"/>
              </w:rPr>
              <w:t>序号</w:t>
            </w:r>
          </w:p>
        </w:tc>
        <w:tc>
          <w:tcPr>
            <w:tcW w:w="4107" w:type="dxa"/>
            <w:vAlign w:val="center"/>
          </w:tcPr>
          <w:p>
            <w:pPr>
              <w:jc w:val="center"/>
              <w:rPr>
                <w:rFonts w:ascii="宋体" w:hAnsi="宋体" w:eastAsia="宋体" w:cs="宋体"/>
                <w:b/>
                <w:bCs/>
                <w:sz w:val="24"/>
              </w:rPr>
            </w:pPr>
            <w:r>
              <w:rPr>
                <w:rFonts w:hint="eastAsia" w:ascii="宋体" w:hAnsi="宋体" w:eastAsia="宋体" w:cs="宋体"/>
                <w:b/>
                <w:bCs/>
                <w:sz w:val="24"/>
              </w:rPr>
              <w:t>名称</w:t>
            </w:r>
          </w:p>
        </w:tc>
        <w:tc>
          <w:tcPr>
            <w:tcW w:w="1280" w:type="dxa"/>
            <w:vAlign w:val="center"/>
          </w:tcPr>
          <w:p>
            <w:pPr>
              <w:jc w:val="center"/>
              <w:rPr>
                <w:rFonts w:ascii="宋体" w:hAnsi="宋体" w:eastAsia="宋体" w:cs="宋体"/>
                <w:b/>
                <w:bCs/>
                <w:sz w:val="24"/>
              </w:rPr>
            </w:pPr>
            <w:r>
              <w:rPr>
                <w:rFonts w:hint="eastAsia" w:ascii="宋体" w:hAnsi="宋体" w:eastAsia="宋体" w:cs="宋体"/>
                <w:b/>
                <w:bCs/>
                <w:sz w:val="24"/>
              </w:rPr>
              <w:t>单位</w:t>
            </w:r>
          </w:p>
        </w:tc>
        <w:tc>
          <w:tcPr>
            <w:tcW w:w="1360" w:type="dxa"/>
            <w:vAlign w:val="center"/>
          </w:tcPr>
          <w:p>
            <w:pPr>
              <w:jc w:val="center"/>
              <w:rPr>
                <w:rFonts w:ascii="宋体" w:hAnsi="宋体" w:eastAsia="宋体" w:cs="宋体"/>
                <w:b/>
                <w:bCs/>
                <w:sz w:val="24"/>
              </w:rPr>
            </w:pPr>
            <w:r>
              <w:rPr>
                <w:rFonts w:hint="eastAsia" w:ascii="宋体" w:hAnsi="宋体" w:eastAsia="宋体" w:cs="宋体"/>
                <w:b/>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4" w:type="dxa"/>
            <w:vAlign w:val="center"/>
          </w:tcPr>
          <w:p>
            <w:pPr>
              <w:jc w:val="center"/>
              <w:rPr>
                <w:rFonts w:ascii="宋体" w:hAnsi="宋体" w:eastAsia="宋体" w:cs="宋体"/>
                <w:sz w:val="24"/>
              </w:rPr>
            </w:pPr>
            <w:r>
              <w:rPr>
                <w:rFonts w:hint="eastAsia" w:ascii="宋体" w:hAnsi="宋体" w:eastAsia="宋体" w:cs="宋体"/>
                <w:sz w:val="24"/>
              </w:rPr>
              <w:t>1</w:t>
            </w:r>
          </w:p>
        </w:tc>
        <w:tc>
          <w:tcPr>
            <w:tcW w:w="4107" w:type="dxa"/>
            <w:vAlign w:val="center"/>
          </w:tcPr>
          <w:p>
            <w:pPr>
              <w:jc w:val="center"/>
              <w:rPr>
                <w:rFonts w:ascii="宋体" w:hAnsi="宋体" w:eastAsia="宋体" w:cs="宋体"/>
                <w:sz w:val="24"/>
              </w:rPr>
            </w:pPr>
            <w:r>
              <w:rPr>
                <w:rFonts w:hint="eastAsia" w:ascii="宋体" w:hAnsi="宋体" w:eastAsia="宋体" w:cs="宋体"/>
                <w:sz w:val="24"/>
              </w:rPr>
              <w:t>便携箱</w:t>
            </w:r>
          </w:p>
        </w:tc>
        <w:tc>
          <w:tcPr>
            <w:tcW w:w="1280" w:type="dxa"/>
            <w:vAlign w:val="center"/>
          </w:tcPr>
          <w:p>
            <w:pPr>
              <w:jc w:val="center"/>
              <w:rPr>
                <w:rFonts w:ascii="宋体" w:hAnsi="宋体" w:eastAsia="宋体" w:cs="宋体"/>
                <w:sz w:val="24"/>
              </w:rPr>
            </w:pPr>
            <w:r>
              <w:rPr>
                <w:rFonts w:hint="eastAsia" w:ascii="宋体" w:hAnsi="宋体" w:eastAsia="宋体" w:cs="宋体"/>
                <w:sz w:val="24"/>
              </w:rPr>
              <w:t>个</w:t>
            </w:r>
          </w:p>
        </w:tc>
        <w:tc>
          <w:tcPr>
            <w:tcW w:w="1360" w:type="dxa"/>
            <w:vAlign w:val="center"/>
          </w:tcPr>
          <w:p>
            <w:pPr>
              <w:jc w:val="center"/>
              <w:rPr>
                <w:rFonts w:ascii="宋体" w:hAnsi="宋体" w:eastAsia="宋体" w:cs="宋体"/>
                <w:sz w:val="24"/>
              </w:rPr>
            </w:pPr>
            <w:r>
              <w:rPr>
                <w:rFonts w:hint="eastAsia" w:ascii="宋体" w:hAnsi="宋体" w:eastAsia="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4" w:type="dxa"/>
            <w:vAlign w:val="center"/>
          </w:tcPr>
          <w:p>
            <w:pPr>
              <w:jc w:val="center"/>
              <w:rPr>
                <w:rFonts w:ascii="宋体" w:hAnsi="宋体" w:eastAsia="宋体" w:cs="宋体"/>
                <w:sz w:val="24"/>
              </w:rPr>
            </w:pPr>
            <w:r>
              <w:rPr>
                <w:rFonts w:hint="eastAsia" w:ascii="宋体" w:hAnsi="宋体" w:eastAsia="宋体" w:cs="宋体"/>
                <w:sz w:val="24"/>
              </w:rPr>
              <w:t>2</w:t>
            </w:r>
          </w:p>
        </w:tc>
        <w:tc>
          <w:tcPr>
            <w:tcW w:w="4107" w:type="dxa"/>
            <w:vAlign w:val="center"/>
          </w:tcPr>
          <w:p>
            <w:pPr>
              <w:jc w:val="center"/>
              <w:rPr>
                <w:rFonts w:ascii="宋体" w:hAnsi="宋体" w:eastAsia="宋体" w:cs="宋体"/>
                <w:sz w:val="24"/>
              </w:rPr>
            </w:pPr>
            <w:r>
              <w:rPr>
                <w:rFonts w:hint="eastAsia" w:ascii="宋体" w:hAnsi="宋体" w:eastAsia="宋体" w:cs="宋体"/>
                <w:sz w:val="24"/>
              </w:rPr>
              <w:t>主机</w:t>
            </w:r>
          </w:p>
        </w:tc>
        <w:tc>
          <w:tcPr>
            <w:tcW w:w="1280" w:type="dxa"/>
            <w:vAlign w:val="center"/>
          </w:tcPr>
          <w:p>
            <w:pPr>
              <w:jc w:val="center"/>
              <w:rPr>
                <w:rFonts w:ascii="宋体" w:hAnsi="宋体" w:eastAsia="宋体" w:cs="宋体"/>
                <w:sz w:val="24"/>
              </w:rPr>
            </w:pPr>
            <w:r>
              <w:rPr>
                <w:rFonts w:hint="eastAsia" w:ascii="宋体" w:hAnsi="宋体" w:eastAsia="宋体" w:cs="宋体"/>
                <w:sz w:val="24"/>
              </w:rPr>
              <w:t>台</w:t>
            </w:r>
          </w:p>
        </w:tc>
        <w:tc>
          <w:tcPr>
            <w:tcW w:w="1360" w:type="dxa"/>
            <w:vAlign w:val="center"/>
          </w:tcPr>
          <w:p>
            <w:pPr>
              <w:jc w:val="center"/>
              <w:rPr>
                <w:rFonts w:ascii="宋体" w:hAnsi="宋体" w:eastAsia="宋体" w:cs="宋体"/>
                <w:sz w:val="24"/>
              </w:rPr>
            </w:pPr>
            <w:r>
              <w:rPr>
                <w:rFonts w:hint="eastAsia" w:ascii="宋体" w:hAnsi="宋体" w:eastAsia="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4" w:type="dxa"/>
            <w:vAlign w:val="center"/>
          </w:tcPr>
          <w:p>
            <w:pPr>
              <w:jc w:val="center"/>
              <w:rPr>
                <w:rFonts w:ascii="宋体" w:hAnsi="宋体" w:eastAsia="宋体" w:cs="宋体"/>
                <w:sz w:val="24"/>
              </w:rPr>
            </w:pPr>
            <w:r>
              <w:rPr>
                <w:rFonts w:hint="eastAsia" w:ascii="宋体" w:hAnsi="宋体" w:eastAsia="宋体" w:cs="宋体"/>
                <w:sz w:val="24"/>
              </w:rPr>
              <w:t>3</w:t>
            </w:r>
          </w:p>
        </w:tc>
        <w:tc>
          <w:tcPr>
            <w:tcW w:w="4107" w:type="dxa"/>
            <w:vAlign w:val="center"/>
          </w:tcPr>
          <w:p>
            <w:pPr>
              <w:jc w:val="center"/>
              <w:rPr>
                <w:rFonts w:ascii="宋体" w:hAnsi="宋体" w:eastAsia="宋体" w:cs="宋体"/>
                <w:sz w:val="24"/>
              </w:rPr>
            </w:pPr>
            <w:r>
              <w:rPr>
                <w:rFonts w:hint="eastAsia" w:ascii="宋体" w:hAnsi="宋体" w:eastAsia="宋体" w:cs="宋体"/>
                <w:sz w:val="24"/>
              </w:rPr>
              <w:t>窥视叶片手柄</w:t>
            </w:r>
          </w:p>
        </w:tc>
        <w:tc>
          <w:tcPr>
            <w:tcW w:w="1280" w:type="dxa"/>
            <w:vAlign w:val="center"/>
          </w:tcPr>
          <w:p>
            <w:pPr>
              <w:jc w:val="center"/>
              <w:rPr>
                <w:rFonts w:ascii="宋体" w:hAnsi="宋体" w:eastAsia="宋体" w:cs="宋体"/>
                <w:sz w:val="24"/>
              </w:rPr>
            </w:pPr>
            <w:r>
              <w:rPr>
                <w:rFonts w:hint="eastAsia" w:ascii="宋体" w:hAnsi="宋体" w:eastAsia="宋体" w:cs="宋体"/>
                <w:sz w:val="24"/>
              </w:rPr>
              <w:t>把</w:t>
            </w:r>
          </w:p>
        </w:tc>
        <w:tc>
          <w:tcPr>
            <w:tcW w:w="1360" w:type="dxa"/>
            <w:vAlign w:val="center"/>
          </w:tcPr>
          <w:p>
            <w:pPr>
              <w:jc w:val="center"/>
              <w:rPr>
                <w:rFonts w:ascii="宋体" w:hAnsi="宋体" w:eastAsia="宋体" w:cs="宋体"/>
                <w:sz w:val="24"/>
              </w:rPr>
            </w:pPr>
            <w:r>
              <w:rPr>
                <w:rFonts w:hint="eastAsia" w:ascii="宋体" w:hAnsi="宋体" w:eastAsia="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4" w:type="dxa"/>
            <w:vAlign w:val="center"/>
          </w:tcPr>
          <w:p>
            <w:pPr>
              <w:jc w:val="center"/>
              <w:rPr>
                <w:rFonts w:ascii="宋体" w:hAnsi="宋体" w:eastAsia="宋体" w:cs="宋体"/>
                <w:sz w:val="24"/>
              </w:rPr>
            </w:pPr>
            <w:r>
              <w:rPr>
                <w:rFonts w:hint="eastAsia" w:ascii="宋体" w:hAnsi="宋体" w:eastAsia="宋体" w:cs="宋体"/>
                <w:sz w:val="24"/>
              </w:rPr>
              <w:t>4</w:t>
            </w:r>
          </w:p>
        </w:tc>
        <w:tc>
          <w:tcPr>
            <w:tcW w:w="4107" w:type="dxa"/>
            <w:vAlign w:val="center"/>
          </w:tcPr>
          <w:p>
            <w:pPr>
              <w:jc w:val="center"/>
              <w:rPr>
                <w:rFonts w:ascii="宋体" w:hAnsi="宋体" w:eastAsia="宋体" w:cs="宋体"/>
                <w:sz w:val="24"/>
              </w:rPr>
            </w:pPr>
            <w:r>
              <w:rPr>
                <w:rFonts w:hint="eastAsia" w:ascii="宋体" w:hAnsi="宋体" w:eastAsia="宋体" w:cs="宋体"/>
                <w:sz w:val="24"/>
              </w:rPr>
              <w:t>窥视叶片</w:t>
            </w:r>
          </w:p>
        </w:tc>
        <w:tc>
          <w:tcPr>
            <w:tcW w:w="1280" w:type="dxa"/>
            <w:vAlign w:val="center"/>
          </w:tcPr>
          <w:p>
            <w:pPr>
              <w:jc w:val="center"/>
              <w:rPr>
                <w:rFonts w:ascii="宋体" w:hAnsi="宋体" w:eastAsia="宋体" w:cs="宋体"/>
                <w:sz w:val="24"/>
              </w:rPr>
            </w:pPr>
            <w:r>
              <w:rPr>
                <w:rFonts w:ascii="宋体" w:hAnsi="宋体" w:eastAsia="宋体" w:cs="宋体"/>
                <w:sz w:val="24"/>
              </w:rPr>
              <w:t>套</w:t>
            </w:r>
          </w:p>
        </w:tc>
        <w:tc>
          <w:tcPr>
            <w:tcW w:w="1360" w:type="dxa"/>
            <w:vAlign w:val="center"/>
          </w:tcPr>
          <w:p>
            <w:pPr>
              <w:jc w:val="center"/>
              <w:rPr>
                <w:rFonts w:ascii="宋体" w:hAnsi="宋体" w:eastAsia="宋体" w:cs="宋体"/>
                <w:sz w:val="24"/>
              </w:rPr>
            </w:pPr>
            <w:r>
              <w:rPr>
                <w:rFonts w:hint="eastAsia" w:ascii="宋体" w:hAnsi="宋体" w:eastAsia="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4" w:type="dxa"/>
            <w:vAlign w:val="center"/>
          </w:tcPr>
          <w:p>
            <w:pPr>
              <w:jc w:val="center"/>
              <w:rPr>
                <w:rFonts w:ascii="宋体" w:hAnsi="宋体" w:eastAsia="宋体" w:cs="宋体"/>
                <w:sz w:val="24"/>
              </w:rPr>
            </w:pPr>
            <w:r>
              <w:rPr>
                <w:rFonts w:hint="eastAsia" w:ascii="宋体" w:hAnsi="宋体" w:eastAsia="宋体" w:cs="宋体"/>
                <w:sz w:val="24"/>
              </w:rPr>
              <w:t>5</w:t>
            </w:r>
          </w:p>
        </w:tc>
        <w:tc>
          <w:tcPr>
            <w:tcW w:w="4107" w:type="dxa"/>
            <w:vAlign w:val="center"/>
          </w:tcPr>
          <w:p>
            <w:pPr>
              <w:jc w:val="center"/>
              <w:rPr>
                <w:rFonts w:ascii="宋体" w:hAnsi="宋体" w:eastAsia="宋体" w:cs="宋体"/>
                <w:sz w:val="24"/>
              </w:rPr>
            </w:pPr>
            <w:r>
              <w:rPr>
                <w:rFonts w:hint="eastAsia" w:ascii="宋体" w:hAnsi="宋体" w:eastAsia="宋体" w:cs="宋体"/>
                <w:sz w:val="24"/>
              </w:rPr>
              <w:t>电源适配器</w:t>
            </w:r>
          </w:p>
        </w:tc>
        <w:tc>
          <w:tcPr>
            <w:tcW w:w="1280" w:type="dxa"/>
            <w:vAlign w:val="center"/>
          </w:tcPr>
          <w:p>
            <w:pPr>
              <w:jc w:val="center"/>
              <w:rPr>
                <w:rFonts w:ascii="宋体" w:hAnsi="宋体" w:eastAsia="宋体" w:cs="宋体"/>
                <w:sz w:val="24"/>
              </w:rPr>
            </w:pPr>
            <w:r>
              <w:rPr>
                <w:rFonts w:hint="eastAsia" w:ascii="宋体" w:hAnsi="宋体" w:eastAsia="宋体" w:cs="宋体"/>
                <w:sz w:val="24"/>
              </w:rPr>
              <w:t>个</w:t>
            </w:r>
          </w:p>
        </w:tc>
        <w:tc>
          <w:tcPr>
            <w:tcW w:w="1360" w:type="dxa"/>
            <w:vAlign w:val="center"/>
          </w:tcPr>
          <w:p>
            <w:pPr>
              <w:jc w:val="center"/>
              <w:rPr>
                <w:rFonts w:ascii="宋体" w:hAnsi="宋体" w:eastAsia="宋体" w:cs="宋体"/>
                <w:sz w:val="24"/>
              </w:rPr>
            </w:pPr>
            <w:r>
              <w:rPr>
                <w:rFonts w:hint="eastAsia" w:ascii="宋体" w:hAnsi="宋体" w:eastAsia="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4" w:type="dxa"/>
            <w:vAlign w:val="center"/>
          </w:tcPr>
          <w:p>
            <w:pPr>
              <w:jc w:val="center"/>
              <w:rPr>
                <w:rFonts w:ascii="宋体" w:hAnsi="宋体" w:eastAsia="宋体" w:cs="宋体"/>
                <w:sz w:val="24"/>
              </w:rPr>
            </w:pPr>
            <w:r>
              <w:rPr>
                <w:rFonts w:hint="eastAsia" w:ascii="宋体" w:hAnsi="宋体" w:eastAsia="宋体" w:cs="宋体"/>
                <w:sz w:val="24"/>
              </w:rPr>
              <w:t>6</w:t>
            </w:r>
          </w:p>
        </w:tc>
        <w:tc>
          <w:tcPr>
            <w:tcW w:w="4107" w:type="dxa"/>
            <w:vAlign w:val="center"/>
          </w:tcPr>
          <w:p>
            <w:pPr>
              <w:jc w:val="center"/>
              <w:rPr>
                <w:rFonts w:ascii="宋体" w:hAnsi="宋体" w:eastAsia="宋体" w:cs="宋体"/>
                <w:sz w:val="24"/>
              </w:rPr>
            </w:pPr>
            <w:r>
              <w:rPr>
                <w:rFonts w:hint="eastAsia" w:ascii="宋体" w:hAnsi="宋体" w:eastAsia="宋体" w:cs="宋体"/>
                <w:sz w:val="24"/>
              </w:rPr>
              <w:t>数据线</w:t>
            </w:r>
          </w:p>
        </w:tc>
        <w:tc>
          <w:tcPr>
            <w:tcW w:w="1280" w:type="dxa"/>
            <w:vAlign w:val="center"/>
          </w:tcPr>
          <w:p>
            <w:pPr>
              <w:jc w:val="center"/>
              <w:rPr>
                <w:rFonts w:ascii="宋体" w:hAnsi="宋体" w:eastAsia="宋体" w:cs="宋体"/>
                <w:sz w:val="24"/>
              </w:rPr>
            </w:pPr>
            <w:r>
              <w:rPr>
                <w:rFonts w:hint="eastAsia" w:ascii="宋体" w:hAnsi="宋体" w:eastAsia="宋体" w:cs="宋体"/>
                <w:sz w:val="24"/>
              </w:rPr>
              <w:t>根</w:t>
            </w:r>
          </w:p>
        </w:tc>
        <w:tc>
          <w:tcPr>
            <w:tcW w:w="1360" w:type="dxa"/>
            <w:vAlign w:val="center"/>
          </w:tcPr>
          <w:p>
            <w:pPr>
              <w:jc w:val="center"/>
              <w:rPr>
                <w:rFonts w:ascii="宋体" w:hAnsi="宋体" w:eastAsia="宋体" w:cs="宋体"/>
                <w:sz w:val="24"/>
              </w:rPr>
            </w:pPr>
            <w:r>
              <w:rPr>
                <w:rFonts w:hint="eastAsia" w:ascii="宋体" w:hAnsi="宋体" w:eastAsia="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4" w:type="dxa"/>
            <w:vAlign w:val="center"/>
          </w:tcPr>
          <w:p>
            <w:pPr>
              <w:jc w:val="center"/>
              <w:rPr>
                <w:rFonts w:ascii="宋体" w:hAnsi="宋体" w:eastAsia="宋体" w:cs="宋体"/>
                <w:sz w:val="24"/>
              </w:rPr>
            </w:pPr>
            <w:r>
              <w:rPr>
                <w:rFonts w:hint="eastAsia" w:ascii="宋体" w:hAnsi="宋体" w:eastAsia="宋体" w:cs="宋体"/>
                <w:sz w:val="24"/>
              </w:rPr>
              <w:t>7</w:t>
            </w:r>
          </w:p>
        </w:tc>
        <w:tc>
          <w:tcPr>
            <w:tcW w:w="4107" w:type="dxa"/>
            <w:vAlign w:val="center"/>
          </w:tcPr>
          <w:p>
            <w:pPr>
              <w:jc w:val="center"/>
              <w:rPr>
                <w:rFonts w:ascii="宋体" w:hAnsi="宋体" w:eastAsia="宋体" w:cs="宋体"/>
                <w:sz w:val="24"/>
              </w:rPr>
            </w:pPr>
            <w:r>
              <w:rPr>
                <w:rFonts w:hint="eastAsia" w:ascii="宋体" w:hAnsi="宋体" w:eastAsia="宋体" w:cs="宋体"/>
                <w:sz w:val="24"/>
              </w:rPr>
              <w:t>使用说明书</w:t>
            </w:r>
          </w:p>
        </w:tc>
        <w:tc>
          <w:tcPr>
            <w:tcW w:w="1280" w:type="dxa"/>
            <w:vAlign w:val="center"/>
          </w:tcPr>
          <w:p>
            <w:pPr>
              <w:jc w:val="center"/>
              <w:rPr>
                <w:rFonts w:ascii="宋体" w:hAnsi="宋体" w:eastAsia="宋体" w:cs="宋体"/>
                <w:sz w:val="24"/>
              </w:rPr>
            </w:pPr>
            <w:r>
              <w:rPr>
                <w:rFonts w:hint="eastAsia" w:ascii="宋体" w:hAnsi="宋体" w:eastAsia="宋体" w:cs="宋体"/>
                <w:sz w:val="24"/>
              </w:rPr>
              <w:t>本</w:t>
            </w:r>
          </w:p>
        </w:tc>
        <w:tc>
          <w:tcPr>
            <w:tcW w:w="1360" w:type="dxa"/>
            <w:vAlign w:val="center"/>
          </w:tcPr>
          <w:p>
            <w:pPr>
              <w:jc w:val="center"/>
              <w:rPr>
                <w:rFonts w:ascii="宋体" w:hAnsi="宋体" w:eastAsia="宋体" w:cs="宋体"/>
                <w:sz w:val="24"/>
              </w:rPr>
            </w:pPr>
            <w:r>
              <w:rPr>
                <w:rFonts w:hint="eastAsia" w:ascii="宋体" w:hAnsi="宋体" w:eastAsia="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4" w:type="dxa"/>
            <w:vAlign w:val="center"/>
          </w:tcPr>
          <w:p>
            <w:pPr>
              <w:jc w:val="center"/>
              <w:rPr>
                <w:rFonts w:ascii="宋体" w:hAnsi="宋体" w:eastAsia="宋体" w:cs="宋体"/>
                <w:sz w:val="24"/>
              </w:rPr>
            </w:pPr>
            <w:r>
              <w:rPr>
                <w:rFonts w:hint="eastAsia" w:ascii="宋体" w:hAnsi="宋体" w:eastAsia="宋体" w:cs="宋体"/>
                <w:sz w:val="24"/>
              </w:rPr>
              <w:t>8</w:t>
            </w:r>
          </w:p>
        </w:tc>
        <w:tc>
          <w:tcPr>
            <w:tcW w:w="4107" w:type="dxa"/>
            <w:vAlign w:val="center"/>
          </w:tcPr>
          <w:p>
            <w:pPr>
              <w:jc w:val="center"/>
              <w:rPr>
                <w:rFonts w:ascii="宋体" w:hAnsi="宋体" w:eastAsia="宋体" w:cs="宋体"/>
                <w:sz w:val="24"/>
              </w:rPr>
            </w:pPr>
            <w:r>
              <w:rPr>
                <w:rFonts w:hint="eastAsia" w:ascii="宋体" w:hAnsi="宋体" w:eastAsia="宋体" w:cs="宋体"/>
                <w:sz w:val="24"/>
              </w:rPr>
              <w:t>合格证、产品质保卡、装箱清单</w:t>
            </w:r>
          </w:p>
        </w:tc>
        <w:tc>
          <w:tcPr>
            <w:tcW w:w="1280" w:type="dxa"/>
            <w:vAlign w:val="center"/>
          </w:tcPr>
          <w:p>
            <w:pPr>
              <w:jc w:val="center"/>
              <w:rPr>
                <w:rFonts w:ascii="宋体" w:hAnsi="宋体" w:eastAsia="宋体" w:cs="宋体"/>
                <w:sz w:val="24"/>
              </w:rPr>
            </w:pPr>
            <w:r>
              <w:rPr>
                <w:rFonts w:hint="eastAsia" w:ascii="宋体" w:hAnsi="宋体" w:eastAsia="宋体" w:cs="宋体"/>
                <w:sz w:val="24"/>
              </w:rPr>
              <w:t>份</w:t>
            </w:r>
          </w:p>
        </w:tc>
        <w:tc>
          <w:tcPr>
            <w:tcW w:w="1360" w:type="dxa"/>
            <w:vAlign w:val="center"/>
          </w:tcPr>
          <w:p>
            <w:pPr>
              <w:jc w:val="center"/>
              <w:rPr>
                <w:rFonts w:ascii="宋体" w:hAnsi="宋体" w:eastAsia="宋体" w:cs="宋体"/>
                <w:sz w:val="24"/>
              </w:rPr>
            </w:pPr>
            <w:r>
              <w:rPr>
                <w:rFonts w:hint="eastAsia" w:ascii="宋体" w:hAnsi="宋体" w:eastAsia="宋体" w:cs="宋体"/>
                <w:sz w:val="24"/>
              </w:rPr>
              <w:t>1</w:t>
            </w:r>
          </w:p>
        </w:tc>
      </w:tr>
    </w:tbl>
    <w:p/>
    <w:p/>
    <w:p>
      <w:pPr>
        <w:spacing w:line="360" w:lineRule="auto"/>
        <w:textAlignment w:val="baseline"/>
        <w:rPr>
          <w:rFonts w:asciiTheme="minorEastAsia" w:hAnsiTheme="minorEastAsia" w:eastAsiaTheme="minorEastAsia"/>
          <w:b/>
          <w:bCs/>
          <w:sz w:val="30"/>
          <w:szCs w:val="30"/>
        </w:rPr>
      </w:pPr>
      <w:bookmarkStart w:id="3" w:name="_Toc233048245"/>
      <w:bookmarkStart w:id="4" w:name="_Toc350964160"/>
      <w:r>
        <w:rPr>
          <w:rFonts w:hint="eastAsia" w:asciiTheme="minorEastAsia" w:hAnsiTheme="minorEastAsia" w:eastAsiaTheme="minorEastAsia"/>
          <w:b/>
          <w:bCs/>
          <w:sz w:val="30"/>
          <w:szCs w:val="30"/>
        </w:rPr>
        <w:t>二、商务要求</w:t>
      </w:r>
    </w:p>
    <w:p>
      <w:pPr>
        <w:spacing w:line="360" w:lineRule="auto"/>
        <w:textAlignment w:val="baseline"/>
        <w:rPr>
          <w:rFonts w:asciiTheme="minorEastAsia" w:hAnsiTheme="minorEastAsia" w:eastAsiaTheme="minorEastAsia"/>
          <w:sz w:val="24"/>
        </w:rPr>
      </w:pPr>
      <w:r>
        <w:rPr>
          <w:rFonts w:hint="eastAsia" w:asciiTheme="minorEastAsia" w:hAnsiTheme="minorEastAsia" w:eastAsiaTheme="minorEastAsia"/>
          <w:sz w:val="24"/>
        </w:rPr>
        <w:t>1.签约地点及交货地点</w:t>
      </w:r>
    </w:p>
    <w:p>
      <w:pPr>
        <w:spacing w:line="360" w:lineRule="auto"/>
        <w:textAlignment w:val="baseline"/>
        <w:rPr>
          <w:rFonts w:asciiTheme="minorEastAsia" w:hAnsiTheme="minorEastAsia" w:eastAsiaTheme="minorEastAsia"/>
          <w:sz w:val="24"/>
        </w:rPr>
      </w:pPr>
      <w:r>
        <w:rPr>
          <w:rFonts w:hint="eastAsia" w:asciiTheme="minorEastAsia" w:hAnsiTheme="minorEastAsia" w:eastAsiaTheme="minorEastAsia"/>
          <w:sz w:val="24"/>
        </w:rPr>
        <w:t>1.1  合同签约地点：三台县</w:t>
      </w:r>
      <w:r>
        <w:rPr>
          <w:rFonts w:hint="eastAsia" w:asciiTheme="minorEastAsia" w:hAnsiTheme="minorEastAsia" w:eastAsiaTheme="minorEastAsia"/>
          <w:sz w:val="24"/>
          <w:lang w:eastAsia="zh-CN"/>
        </w:rPr>
        <w:t>中医院</w:t>
      </w:r>
      <w:r>
        <w:rPr>
          <w:rFonts w:hint="eastAsia" w:asciiTheme="minorEastAsia" w:hAnsiTheme="minorEastAsia" w:eastAsiaTheme="minorEastAsia"/>
          <w:sz w:val="24"/>
        </w:rPr>
        <w:t>。</w:t>
      </w:r>
    </w:p>
    <w:p>
      <w:pPr>
        <w:spacing w:line="360" w:lineRule="auto"/>
        <w:textAlignment w:val="baseline"/>
        <w:rPr>
          <w:rFonts w:asciiTheme="minorEastAsia" w:hAnsiTheme="minorEastAsia" w:eastAsiaTheme="minorEastAsia"/>
          <w:sz w:val="24"/>
        </w:rPr>
      </w:pPr>
      <w:r>
        <w:rPr>
          <w:rFonts w:hint="eastAsia" w:asciiTheme="minorEastAsia" w:hAnsiTheme="minorEastAsia" w:eastAsiaTheme="minorEastAsia"/>
          <w:sz w:val="24"/>
        </w:rPr>
        <w:t>1.2  配送及安装地址：比选人指定地点。</w:t>
      </w:r>
    </w:p>
    <w:p>
      <w:pPr>
        <w:spacing w:line="360" w:lineRule="auto"/>
        <w:textAlignment w:val="baseline"/>
        <w:rPr>
          <w:rFonts w:asciiTheme="minorEastAsia" w:hAnsiTheme="minorEastAsia" w:eastAsiaTheme="minorEastAsia"/>
          <w:sz w:val="24"/>
        </w:rPr>
      </w:pPr>
      <w:r>
        <w:rPr>
          <w:rFonts w:hint="eastAsia" w:asciiTheme="minorEastAsia" w:hAnsiTheme="minorEastAsia" w:eastAsiaTheme="minorEastAsia"/>
          <w:sz w:val="24"/>
        </w:rPr>
        <w:t>1.3  交货期：签订合同后</w:t>
      </w:r>
      <w:r>
        <w:rPr>
          <w:rFonts w:hint="eastAsia" w:asciiTheme="minorEastAsia" w:hAnsiTheme="minorEastAsia" w:eastAsiaTheme="minorEastAsia"/>
          <w:sz w:val="24"/>
          <w:lang w:val="en-US" w:eastAsia="zh-CN"/>
        </w:rPr>
        <w:t>15</w:t>
      </w:r>
      <w:r>
        <w:rPr>
          <w:rFonts w:hint="eastAsia" w:asciiTheme="minorEastAsia" w:hAnsiTheme="minorEastAsia" w:eastAsiaTheme="minorEastAsia"/>
          <w:sz w:val="24"/>
        </w:rPr>
        <w:t>日内。</w:t>
      </w:r>
    </w:p>
    <w:p>
      <w:pPr>
        <w:spacing w:line="360" w:lineRule="auto"/>
        <w:textAlignment w:val="baseline"/>
        <w:rPr>
          <w:rFonts w:asciiTheme="minorEastAsia" w:hAnsiTheme="minorEastAsia" w:eastAsiaTheme="minorEastAsia"/>
          <w:sz w:val="24"/>
        </w:rPr>
      </w:pPr>
      <w:r>
        <w:rPr>
          <w:rFonts w:hint="eastAsia" w:asciiTheme="minorEastAsia" w:hAnsiTheme="minorEastAsia" w:eastAsiaTheme="minorEastAsia"/>
          <w:sz w:val="24"/>
        </w:rPr>
        <w:t>2.质保期及售后服务要求</w:t>
      </w:r>
    </w:p>
    <w:p>
      <w:pPr>
        <w:spacing w:line="360" w:lineRule="auto"/>
        <w:textAlignment w:val="baseline"/>
        <w:rPr>
          <w:rFonts w:asciiTheme="minorEastAsia" w:hAnsiTheme="minorEastAsia" w:eastAsiaTheme="minorEastAsia"/>
          <w:sz w:val="24"/>
        </w:rPr>
      </w:pPr>
      <w:r>
        <w:rPr>
          <w:rFonts w:hint="eastAsia" w:asciiTheme="minorEastAsia" w:hAnsiTheme="minorEastAsia" w:eastAsiaTheme="minorEastAsia"/>
          <w:sz w:val="24"/>
        </w:rPr>
        <w:t>2.1质保期：验收合格后至少1年</w:t>
      </w:r>
      <w:bookmarkStart w:id="5" w:name="_Toc52036325"/>
      <w:bookmarkStart w:id="6" w:name="_Toc520455383"/>
      <w:r>
        <w:rPr>
          <w:rFonts w:hint="eastAsia" w:asciiTheme="minorEastAsia" w:hAnsiTheme="minorEastAsia" w:eastAsiaTheme="minorEastAsia"/>
          <w:sz w:val="24"/>
          <w:lang w:eastAsia="zh-CN"/>
        </w:rPr>
        <w:t>。</w:t>
      </w:r>
      <w:r>
        <w:rPr>
          <w:rFonts w:hint="eastAsia" w:asciiTheme="minorEastAsia" w:hAnsiTheme="minorEastAsia" w:eastAsiaTheme="minorEastAsia"/>
          <w:sz w:val="24"/>
        </w:rPr>
        <w:t>在质保期内，所有的配件费、人工费、差旅费、运输费、搬运费等所有费用均由供应商承担。</w:t>
      </w:r>
    </w:p>
    <w:p>
      <w:pPr>
        <w:spacing w:line="360" w:lineRule="auto"/>
        <w:textAlignment w:val="baseline"/>
        <w:rPr>
          <w:rFonts w:asciiTheme="minorEastAsia" w:hAnsiTheme="minorEastAsia" w:eastAsiaTheme="minorEastAsia"/>
          <w:sz w:val="24"/>
        </w:rPr>
      </w:pPr>
      <w:r>
        <w:rPr>
          <w:rFonts w:hint="eastAsia" w:asciiTheme="minorEastAsia" w:hAnsiTheme="minorEastAsia" w:eastAsiaTheme="minorEastAsia"/>
          <w:sz w:val="24"/>
        </w:rPr>
        <w:t>2.2在质保期和免费维保期内，接到采购人报修通知后卖方响应时间≤2小时；提出解决方案≤12小时；维修人员到达现场时间≤48小时（不可抗力因素除外）。保修期内对采购人进行不少于1次的回访，了解用采购人设备的使用情况，及时解决有关问题。</w:t>
      </w:r>
    </w:p>
    <w:p>
      <w:pPr>
        <w:spacing w:line="360" w:lineRule="auto"/>
        <w:textAlignment w:val="baseline"/>
        <w:rPr>
          <w:rFonts w:asciiTheme="minorEastAsia" w:hAnsiTheme="minorEastAsia" w:eastAsiaTheme="minorEastAsia"/>
          <w:sz w:val="24"/>
        </w:rPr>
      </w:pPr>
      <w:r>
        <w:rPr>
          <w:rFonts w:hint="eastAsia" w:asciiTheme="minorEastAsia" w:hAnsiTheme="minorEastAsia" w:eastAsiaTheme="minorEastAsia"/>
          <w:sz w:val="24"/>
        </w:rPr>
        <w:t>2.3在设备使用期间，保证国内零配件送达时间不超过7天，进品零配件送达时间不超过20天。如果设备停产，其备件的供应期可达到8年及以上，并以优惠的价格提供该设备所需的维修零配件（在承诺书中标明零配件价格）。</w:t>
      </w:r>
    </w:p>
    <w:p>
      <w:pPr>
        <w:spacing w:line="360" w:lineRule="auto"/>
        <w:textAlignment w:val="baseline"/>
        <w:rPr>
          <w:rFonts w:asciiTheme="minorEastAsia" w:hAnsiTheme="minorEastAsia" w:eastAsiaTheme="minorEastAsia"/>
          <w:sz w:val="24"/>
        </w:rPr>
      </w:pPr>
      <w:r>
        <w:rPr>
          <w:rFonts w:hint="eastAsia" w:asciiTheme="minorEastAsia" w:hAnsiTheme="minorEastAsia" w:eastAsiaTheme="minorEastAsia"/>
          <w:sz w:val="24"/>
        </w:rPr>
        <w:t>3.付款方法和条件</w:t>
      </w:r>
    </w:p>
    <w:p>
      <w:pPr>
        <w:spacing w:line="360" w:lineRule="auto"/>
        <w:textAlignment w:val="baseline"/>
        <w:rPr>
          <w:rFonts w:asciiTheme="minorEastAsia" w:hAnsiTheme="minorEastAsia" w:eastAsiaTheme="minorEastAsia"/>
          <w:sz w:val="24"/>
        </w:rPr>
      </w:pPr>
      <w:r>
        <w:rPr>
          <w:rFonts w:hint="eastAsia" w:asciiTheme="minorEastAsia" w:hAnsiTheme="minorEastAsia" w:eastAsiaTheme="minorEastAsia"/>
          <w:sz w:val="24"/>
        </w:rPr>
        <w:t>3.1  货到安装验收合格1个月内付合同总价的</w:t>
      </w:r>
      <w:r>
        <w:rPr>
          <w:rFonts w:hint="eastAsia" w:asciiTheme="minorEastAsia" w:hAnsiTheme="minorEastAsia" w:eastAsiaTheme="minorEastAsia"/>
          <w:sz w:val="24"/>
          <w:lang w:val="en-US" w:eastAsia="zh-CN"/>
        </w:rPr>
        <w:t>9</w:t>
      </w:r>
      <w:r>
        <w:rPr>
          <w:rFonts w:hint="eastAsia" w:asciiTheme="minorEastAsia" w:hAnsiTheme="minorEastAsia" w:eastAsiaTheme="minorEastAsia"/>
          <w:sz w:val="24"/>
        </w:rPr>
        <w:t>0% ，质保期满一年后1个月内付合同总价10% 。</w:t>
      </w:r>
    </w:p>
    <w:p>
      <w:pPr>
        <w:spacing w:line="360" w:lineRule="auto"/>
        <w:textAlignment w:val="baseline"/>
        <w:rPr>
          <w:rFonts w:asciiTheme="minorEastAsia" w:hAnsiTheme="minorEastAsia" w:eastAsiaTheme="minorEastAsia"/>
          <w:sz w:val="24"/>
        </w:rPr>
      </w:pPr>
      <w:r>
        <w:rPr>
          <w:rFonts w:hint="eastAsia" w:asciiTheme="minorEastAsia" w:hAnsiTheme="minorEastAsia" w:eastAsiaTheme="minorEastAsia"/>
          <w:sz w:val="24"/>
        </w:rPr>
        <w:t>3.2  付款方式：转账、电汇等非现金方式。</w:t>
      </w:r>
    </w:p>
    <w:p>
      <w:pPr>
        <w:spacing w:line="360" w:lineRule="auto"/>
        <w:textAlignment w:val="baseline"/>
        <w:rPr>
          <w:rFonts w:asciiTheme="minorEastAsia" w:hAnsiTheme="minorEastAsia" w:eastAsiaTheme="minorEastAsia"/>
          <w:sz w:val="24"/>
        </w:rPr>
      </w:pPr>
      <w:r>
        <w:rPr>
          <w:rFonts w:hint="eastAsia" w:asciiTheme="minorEastAsia" w:hAnsiTheme="minorEastAsia" w:eastAsiaTheme="minorEastAsia"/>
          <w:sz w:val="24"/>
        </w:rPr>
        <w:t>4.培训：负责设备安装、调试，确保正常运行，且负责操作人员的培训，直至操作人员对操作技术完全掌握为止，费用包含在总报价内。</w:t>
      </w:r>
    </w:p>
    <w:p>
      <w:pPr>
        <w:spacing w:line="360" w:lineRule="auto"/>
        <w:textAlignment w:val="baseline"/>
        <w:rPr>
          <w:rFonts w:asciiTheme="minorEastAsia" w:hAnsiTheme="minorEastAsia" w:eastAsiaTheme="minorEastAsia"/>
          <w:sz w:val="24"/>
        </w:rPr>
      </w:pPr>
      <w:r>
        <w:rPr>
          <w:rFonts w:hint="eastAsia" w:asciiTheme="minorEastAsia" w:hAnsiTheme="minorEastAsia" w:eastAsiaTheme="minorEastAsia"/>
          <w:sz w:val="24"/>
        </w:rPr>
        <w:t>5.验收：按照比选文件服务要求、响应文件响应情况和国家、行业标准进行验收。</w:t>
      </w:r>
    </w:p>
    <w:p>
      <w:pPr>
        <w:widowControl/>
        <w:jc w:val="left"/>
        <w:rPr>
          <w:rFonts w:hint="eastAsia" w:ascii="宋体" w:hAnsi="宋体" w:cs="宋体"/>
          <w:sz w:val="28"/>
          <w:szCs w:val="28"/>
        </w:rPr>
      </w:pPr>
    </w:p>
    <w:p>
      <w:pPr>
        <w:widowControl/>
        <w:jc w:val="left"/>
        <w:rPr>
          <w:rFonts w:asciiTheme="minorEastAsia" w:hAnsiTheme="minorEastAsia" w:eastAsiaTheme="minorEastAsia"/>
          <w:b/>
          <w:bCs/>
          <w:kern w:val="0"/>
          <w:sz w:val="24"/>
        </w:rPr>
      </w:pPr>
      <w:r>
        <w:rPr>
          <w:rFonts w:hint="eastAsia" w:ascii="宋体" w:hAnsi="宋体" w:cs="宋体"/>
          <w:sz w:val="28"/>
          <w:szCs w:val="28"/>
        </w:rPr>
        <w:t>★</w:t>
      </w:r>
      <w:r>
        <w:rPr>
          <w:rFonts w:asciiTheme="minorEastAsia" w:hAnsiTheme="minorEastAsia" w:eastAsiaTheme="minorEastAsia"/>
          <w:b/>
          <w:kern w:val="0"/>
          <w:sz w:val="24"/>
        </w:rPr>
        <w:t>注：</w:t>
      </w:r>
      <w:r>
        <w:rPr>
          <w:rFonts w:hint="eastAsia" w:asciiTheme="minorEastAsia" w:hAnsiTheme="minorEastAsia" w:eastAsiaTheme="minorEastAsia"/>
          <w:b/>
          <w:kern w:val="0"/>
          <w:sz w:val="24"/>
        </w:rPr>
        <w:t>1、所有的</w:t>
      </w:r>
      <w:r>
        <w:rPr>
          <w:rFonts w:asciiTheme="minorEastAsia" w:hAnsiTheme="minorEastAsia" w:eastAsiaTheme="minorEastAsia"/>
          <w:b/>
          <w:kern w:val="0"/>
          <w:sz w:val="24"/>
        </w:rPr>
        <w:t>商务要求均</w:t>
      </w:r>
      <w:r>
        <w:rPr>
          <w:rFonts w:asciiTheme="minorEastAsia" w:hAnsiTheme="minorEastAsia" w:eastAsiaTheme="minorEastAsia"/>
          <w:b/>
          <w:bCs/>
          <w:kern w:val="0"/>
          <w:sz w:val="24"/>
        </w:rPr>
        <w:t>为实质性要求，负偏离</w:t>
      </w:r>
      <w:r>
        <w:rPr>
          <w:rFonts w:hint="eastAsia" w:asciiTheme="minorEastAsia" w:hAnsiTheme="minorEastAsia" w:eastAsiaTheme="minorEastAsia"/>
          <w:b/>
          <w:bCs/>
          <w:kern w:val="0"/>
          <w:sz w:val="24"/>
        </w:rPr>
        <w:t>则为</w:t>
      </w:r>
      <w:r>
        <w:rPr>
          <w:rFonts w:asciiTheme="minorEastAsia" w:hAnsiTheme="minorEastAsia" w:eastAsiaTheme="minorEastAsia"/>
          <w:b/>
          <w:bCs/>
          <w:kern w:val="0"/>
          <w:sz w:val="24"/>
        </w:rPr>
        <w:t>无效响应文件。</w:t>
      </w:r>
    </w:p>
    <w:p>
      <w:pPr>
        <w:widowControl/>
        <w:ind w:firstLine="723" w:firstLineChars="300"/>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2、报价超过采购最高限价为无效响应文件。</w:t>
      </w:r>
    </w:p>
    <w:p>
      <w:pPr>
        <w:pStyle w:val="2"/>
        <w:rPr>
          <w:rFonts w:hint="eastAsia" w:ascii="Times New Roman" w:hAnsi="Times New Roman"/>
          <w:sz w:val="36"/>
          <w:szCs w:val="36"/>
        </w:rPr>
      </w:pPr>
      <w:r>
        <w:rPr>
          <w:rFonts w:ascii="Times New Roman" w:hAnsi="Times New Roman"/>
          <w:sz w:val="36"/>
          <w:szCs w:val="36"/>
        </w:rPr>
        <w:t>第</w:t>
      </w:r>
      <w:r>
        <w:rPr>
          <w:rFonts w:hint="eastAsia" w:ascii="Times New Roman" w:hAnsi="Times New Roman"/>
          <w:sz w:val="36"/>
          <w:szCs w:val="36"/>
        </w:rPr>
        <w:t>三</w:t>
      </w:r>
      <w:r>
        <w:rPr>
          <w:rFonts w:ascii="Times New Roman" w:hAnsi="Times New Roman"/>
          <w:sz w:val="36"/>
          <w:szCs w:val="36"/>
        </w:rPr>
        <w:t>章  响应文件格式</w:t>
      </w:r>
      <w:bookmarkEnd w:id="5"/>
      <w:bookmarkEnd w:id="6"/>
      <w:r>
        <w:rPr>
          <w:rFonts w:hint="eastAsia" w:ascii="Times New Roman" w:hAnsi="Times New Roman"/>
          <w:sz w:val="36"/>
          <w:szCs w:val="36"/>
        </w:rPr>
        <w:t>和要求</w:t>
      </w:r>
    </w:p>
    <w:p>
      <w:pPr>
        <w:pStyle w:val="2"/>
        <w:pageBreakBefore w:val="0"/>
        <w:widowControl w:val="0"/>
        <w:kinsoku/>
        <w:wordWrap/>
        <w:overflowPunct/>
        <w:topLinePunct w:val="0"/>
        <w:bidi w:val="0"/>
        <w:snapToGrid/>
        <w:spacing w:line="440" w:lineRule="exact"/>
        <w:textAlignment w:val="auto"/>
        <w:rPr>
          <w:rFonts w:hint="eastAsia" w:ascii="Times New Roman" w:hAnsi="Times New Roman"/>
          <w:b/>
          <w:kern w:val="0"/>
          <w:sz w:val="24"/>
        </w:rPr>
      </w:pPr>
      <w:r>
        <w:rPr>
          <w:rFonts w:hint="eastAsia" w:ascii="Times New Roman" w:hAnsi="Times New Roman"/>
          <w:b/>
          <w:kern w:val="0"/>
          <w:sz w:val="24"/>
        </w:rPr>
        <w:t>一、响应文件要求：响应</w:t>
      </w:r>
      <w:r>
        <w:rPr>
          <w:rFonts w:hint="eastAsia" w:ascii="宋体" w:hAnsi="宋体" w:cs="宋体"/>
          <w:b/>
          <w:bCs/>
          <w:sz w:val="28"/>
          <w:szCs w:val="28"/>
        </w:rPr>
        <w:t>文件需具有的资料(仅有但不限于)</w:t>
      </w:r>
      <w:r>
        <w:rPr>
          <w:rFonts w:hint="eastAsia" w:ascii="宋体" w:hAnsi="宋体" w:cs="宋体"/>
          <w:sz w:val="28"/>
          <w:szCs w:val="28"/>
        </w:rPr>
        <w:t xml:space="preserve"> </w:t>
      </w:r>
      <w:r>
        <w:rPr>
          <w:rFonts w:hint="eastAsia" w:ascii="Times New Roman" w:hAnsi="Times New Roman"/>
          <w:b/>
          <w:kern w:val="0"/>
          <w:sz w:val="24"/>
        </w:rPr>
        <w:t>（一式两份，一正一副，封面注明包号和设备名称，报价为一次性报价。）</w:t>
      </w:r>
    </w:p>
    <w:p>
      <w:pPr>
        <w:pStyle w:val="2"/>
        <w:keepNext/>
        <w:keepLines/>
        <w:pageBreakBefore w:val="0"/>
        <w:widowControl w:val="0"/>
        <w:kinsoku/>
        <w:wordWrap/>
        <w:overflowPunct/>
        <w:topLinePunct w:val="0"/>
        <w:autoSpaceDE/>
        <w:autoSpaceDN/>
        <w:bidi w:val="0"/>
        <w:adjustRightInd/>
        <w:snapToGrid/>
        <w:spacing w:before="0" w:after="0" w:line="440" w:lineRule="exact"/>
        <w:textAlignment w:val="auto"/>
        <w:rPr>
          <w:rFonts w:ascii="Times New Roman" w:hAnsi="Times New Roman" w:eastAsia="宋体" w:cs="Times New Roman"/>
          <w:b w:val="0"/>
          <w:bCs w:val="0"/>
          <w:color w:val="0D0D0D"/>
          <w:kern w:val="0"/>
          <w:sz w:val="24"/>
          <w:szCs w:val="24"/>
          <w:lang w:val="zh-CN" w:eastAsia="zh-CN" w:bidi="ar-SA"/>
        </w:rPr>
      </w:pPr>
      <w:r>
        <w:rPr>
          <w:rFonts w:ascii="Times New Roman" w:hAnsi="Times New Roman"/>
          <w:color w:val="0D0D0D"/>
          <w:kern w:val="0"/>
          <w:sz w:val="24"/>
          <w:lang w:val="zh-CN"/>
        </w:rPr>
        <w:t>1、</w:t>
      </w:r>
      <w:r>
        <w:rPr>
          <w:rFonts w:ascii="Times New Roman" w:hAnsi="Times New Roman" w:eastAsia="宋体" w:cs="Times New Roman"/>
          <w:b w:val="0"/>
          <w:bCs w:val="0"/>
          <w:color w:val="0D0D0D"/>
          <w:kern w:val="0"/>
          <w:sz w:val="24"/>
          <w:szCs w:val="24"/>
          <w:lang w:val="zh-CN" w:eastAsia="zh-CN" w:bidi="ar-SA"/>
        </w:rPr>
        <w:t>如比选申请人为法人单位，则提供有效的企业营业执照副本复印件；如比选申请人为事业单位，则提供事业单位法人证书副本复印件；如比选申请人为非盈利机构，则提供登记证书复印件；</w:t>
      </w:r>
    </w:p>
    <w:p>
      <w:pPr>
        <w:pageBreakBefore w:val="0"/>
        <w:widowControl w:val="0"/>
        <w:kinsoku/>
        <w:wordWrap/>
        <w:overflowPunct/>
        <w:topLinePunct w:val="0"/>
        <w:autoSpaceDE w:val="0"/>
        <w:autoSpaceDN w:val="0"/>
        <w:bidi w:val="0"/>
        <w:adjustRightInd w:val="0"/>
        <w:snapToGrid/>
        <w:spacing w:line="44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 xml:space="preserve"> 2、提供具有良好的商业信誉承诺书注：</w:t>
      </w:r>
    </w:p>
    <w:p>
      <w:pPr>
        <w:pageBreakBefore w:val="0"/>
        <w:widowControl w:val="0"/>
        <w:kinsoku/>
        <w:wordWrap/>
        <w:overflowPunct/>
        <w:topLinePunct w:val="0"/>
        <w:autoSpaceDE w:val="0"/>
        <w:autoSpaceDN w:val="0"/>
        <w:bidi w:val="0"/>
        <w:adjustRightInd w:val="0"/>
        <w:snapToGrid/>
        <w:spacing w:line="44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pageBreakBefore w:val="0"/>
        <w:widowControl w:val="0"/>
        <w:kinsoku/>
        <w:wordWrap/>
        <w:overflowPunct/>
        <w:topLinePunct w:val="0"/>
        <w:autoSpaceDE w:val="0"/>
        <w:autoSpaceDN w:val="0"/>
        <w:bidi w:val="0"/>
        <w:adjustRightInd w:val="0"/>
        <w:snapToGrid/>
        <w:spacing w:line="44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pageBreakBefore w:val="0"/>
        <w:widowControl w:val="0"/>
        <w:kinsoku/>
        <w:wordWrap/>
        <w:overflowPunct/>
        <w:topLinePunct w:val="0"/>
        <w:autoSpaceDE w:val="0"/>
        <w:autoSpaceDN w:val="0"/>
        <w:bidi w:val="0"/>
        <w:adjustRightInd w:val="0"/>
        <w:snapToGrid/>
        <w:spacing w:line="44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pageBreakBefore w:val="0"/>
        <w:widowControl w:val="0"/>
        <w:kinsoku/>
        <w:wordWrap/>
        <w:overflowPunct/>
        <w:topLinePunct w:val="0"/>
        <w:autoSpaceDE w:val="0"/>
        <w:autoSpaceDN w:val="0"/>
        <w:bidi w:val="0"/>
        <w:adjustRightInd w:val="0"/>
        <w:snapToGrid/>
        <w:spacing w:line="44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pageBreakBefore w:val="0"/>
        <w:widowControl w:val="0"/>
        <w:kinsoku/>
        <w:wordWrap/>
        <w:overflowPunct/>
        <w:topLinePunct w:val="0"/>
        <w:autoSpaceDE w:val="0"/>
        <w:autoSpaceDN w:val="0"/>
        <w:bidi w:val="0"/>
        <w:adjustRightInd w:val="0"/>
        <w:snapToGrid/>
        <w:spacing w:line="44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6、承诺与其他供应商之间，单位负责人不为同一人而且不存在直接控股、管理关系的承诺书；</w:t>
      </w:r>
    </w:p>
    <w:p>
      <w:pPr>
        <w:pageBreakBefore w:val="0"/>
        <w:widowControl w:val="0"/>
        <w:kinsoku/>
        <w:wordWrap/>
        <w:overflowPunct/>
        <w:topLinePunct w:val="0"/>
        <w:autoSpaceDE w:val="0"/>
        <w:autoSpaceDN w:val="0"/>
        <w:bidi w:val="0"/>
        <w:adjustRightInd w:val="0"/>
        <w:snapToGrid/>
        <w:spacing w:line="44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7、提供医疗器械经营许可证或医疗器械经营备案凭证复印件（本条对I类医疗器械产品，不具效力）。</w:t>
      </w:r>
    </w:p>
    <w:p>
      <w:pPr>
        <w:pageBreakBefore w:val="0"/>
        <w:widowControl w:val="0"/>
        <w:kinsoku/>
        <w:wordWrap/>
        <w:overflowPunct/>
        <w:topLinePunct w:val="0"/>
        <w:autoSpaceDE w:val="0"/>
        <w:autoSpaceDN w:val="0"/>
        <w:bidi w:val="0"/>
        <w:adjustRightInd w:val="0"/>
        <w:snapToGrid/>
        <w:spacing w:line="44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8、法定代表人/单位负责人授权委托书（法定代表人/单位负责人或自然人直接参与投标的除外）。</w:t>
      </w:r>
    </w:p>
    <w:p>
      <w:pPr>
        <w:pageBreakBefore w:val="0"/>
        <w:widowControl w:val="0"/>
        <w:kinsoku/>
        <w:wordWrap/>
        <w:overflowPunct/>
        <w:topLinePunct w:val="0"/>
        <w:bidi w:val="0"/>
        <w:snapToGrid/>
        <w:spacing w:line="440" w:lineRule="exact"/>
        <w:jc w:val="left"/>
        <w:textAlignment w:val="auto"/>
        <w:rPr>
          <w:rFonts w:ascii="Times New Roman" w:hAnsi="Times New Roman"/>
          <w:color w:val="0D0D0D"/>
          <w:kern w:val="0"/>
          <w:sz w:val="24"/>
          <w:lang w:val="zh-CN"/>
        </w:rPr>
      </w:pPr>
      <w:r>
        <w:rPr>
          <w:rFonts w:ascii="Times New Roman" w:hAnsi="Times New Roman"/>
          <w:color w:val="0D0D0D"/>
          <w:kern w:val="0"/>
          <w:sz w:val="24"/>
          <w:lang w:val="zh-CN"/>
        </w:rPr>
        <w:t>9、</w:t>
      </w:r>
      <w:r>
        <w:rPr>
          <w:rFonts w:hint="eastAsia" w:ascii="Times New Roman" w:hAnsi="Times New Roman"/>
          <w:color w:val="0D0D0D"/>
          <w:kern w:val="0"/>
          <w:sz w:val="24"/>
          <w:lang w:val="zh-CN"/>
        </w:rPr>
        <w:t>提供产品的医疗器械产品注册证或备案凭证复印件（非医疗器械产品除外）</w:t>
      </w:r>
    </w:p>
    <w:p>
      <w:pPr>
        <w:pageBreakBefore w:val="0"/>
        <w:widowControl w:val="0"/>
        <w:kinsoku/>
        <w:wordWrap/>
        <w:overflowPunct/>
        <w:topLinePunct w:val="0"/>
        <w:bidi w:val="0"/>
        <w:snapToGrid/>
        <w:spacing w:line="440" w:lineRule="exact"/>
        <w:jc w:val="left"/>
        <w:textAlignment w:val="auto"/>
        <w:rPr>
          <w:rFonts w:ascii="Times New Roman" w:hAnsi="Times New Roman"/>
          <w:b/>
          <w:kern w:val="0"/>
          <w:sz w:val="24"/>
        </w:rPr>
      </w:pPr>
    </w:p>
    <w:p>
      <w:pPr>
        <w:widowControl/>
        <w:spacing w:line="360" w:lineRule="auto"/>
        <w:jc w:val="both"/>
        <w:rPr>
          <w:rFonts w:hint="default" w:ascii="Times New Roman" w:hAnsi="Times New Roman" w:eastAsia="黑体"/>
          <w:b/>
          <w:kern w:val="0"/>
          <w:sz w:val="32"/>
          <w:szCs w:val="32"/>
          <w:lang w:val="en-US" w:eastAsia="zh-CN"/>
        </w:rPr>
      </w:pPr>
      <w:r>
        <w:rPr>
          <w:rFonts w:hint="eastAsia" w:ascii="Times New Roman" w:hAnsi="Times New Roman" w:eastAsia="黑体"/>
          <w:b/>
          <w:kern w:val="0"/>
          <w:sz w:val="32"/>
          <w:szCs w:val="32"/>
        </w:rPr>
        <w:t>二、响应文件格式</w:t>
      </w:r>
      <w:r>
        <w:rPr>
          <w:rFonts w:hint="eastAsia" w:ascii="Times New Roman" w:hAnsi="Times New Roman" w:eastAsia="黑体"/>
          <w:b/>
          <w:kern w:val="0"/>
          <w:sz w:val="32"/>
          <w:szCs w:val="32"/>
          <w:lang w:eastAsia="zh-CN"/>
        </w:rPr>
        <w:t>：</w:t>
      </w:r>
      <w:r>
        <w:rPr>
          <w:rFonts w:hint="eastAsia" w:ascii="Times New Roman" w:hAnsi="Times New Roman" w:eastAsia="黑体"/>
          <w:b/>
          <w:kern w:val="0"/>
          <w:sz w:val="32"/>
          <w:szCs w:val="32"/>
          <w:lang w:val="en-US" w:eastAsia="zh-CN"/>
        </w:rPr>
        <w:t>未做要求的格式由投标人自拟。</w:t>
      </w:r>
    </w:p>
    <w:p>
      <w:pPr>
        <w:widowControl/>
        <w:spacing w:line="360" w:lineRule="auto"/>
        <w:jc w:val="both"/>
        <w:rPr>
          <w:rFonts w:ascii="Times New Roman" w:hAnsi="Times New Roman" w:eastAsia="黑体"/>
          <w:b/>
          <w:kern w:val="0"/>
          <w:sz w:val="32"/>
          <w:szCs w:val="32"/>
        </w:rPr>
      </w:pPr>
      <w:r>
        <w:rPr>
          <w:rFonts w:hint="eastAsia" w:ascii="Times New Roman" w:hAnsi="Times New Roman" w:eastAsia="黑体"/>
          <w:b/>
          <w:kern w:val="0"/>
          <w:sz w:val="32"/>
          <w:szCs w:val="32"/>
          <w:lang w:val="en-US" w:eastAsia="zh-CN"/>
        </w:rPr>
        <w:t>三</w:t>
      </w:r>
      <w:r>
        <w:rPr>
          <w:rFonts w:ascii="Times New Roman" w:hAnsi="Times New Roman" w:eastAsia="黑体"/>
          <w:b/>
          <w:kern w:val="0"/>
          <w:sz w:val="32"/>
          <w:szCs w:val="32"/>
        </w:rPr>
        <w:t>、技术、服务要求应答表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87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111"/>
        <w:gridCol w:w="13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111"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34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111" w:type="dxa"/>
            <w:vAlign w:val="center"/>
          </w:tcPr>
          <w:p>
            <w:pPr>
              <w:widowControl/>
              <w:spacing w:line="360" w:lineRule="auto"/>
              <w:ind w:left="283" w:leftChars="135"/>
              <w:jc w:val="left"/>
              <w:rPr>
                <w:rFonts w:ascii="Times New Roman" w:hAnsi="Times New Roman"/>
                <w:kern w:val="0"/>
                <w:sz w:val="24"/>
                <w:szCs w:val="20"/>
              </w:rPr>
            </w:pPr>
          </w:p>
        </w:tc>
        <w:tc>
          <w:tcPr>
            <w:tcW w:w="1340"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111" w:type="dxa"/>
            <w:vAlign w:val="center"/>
          </w:tcPr>
          <w:p>
            <w:pPr>
              <w:widowControl/>
              <w:jc w:val="center"/>
              <w:rPr>
                <w:rFonts w:ascii="Times New Roman" w:hAnsi="Times New Roman"/>
                <w:kern w:val="0"/>
                <w:sz w:val="24"/>
                <w:szCs w:val="20"/>
              </w:rPr>
            </w:pPr>
          </w:p>
        </w:tc>
        <w:tc>
          <w:tcPr>
            <w:tcW w:w="1340"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111" w:type="dxa"/>
            <w:vAlign w:val="center"/>
          </w:tcPr>
          <w:p>
            <w:pPr>
              <w:widowControl/>
              <w:jc w:val="center"/>
              <w:rPr>
                <w:rFonts w:ascii="Times New Roman" w:hAnsi="Times New Roman"/>
                <w:kern w:val="0"/>
                <w:sz w:val="24"/>
                <w:szCs w:val="20"/>
              </w:rPr>
            </w:pPr>
          </w:p>
        </w:tc>
        <w:tc>
          <w:tcPr>
            <w:tcW w:w="1340"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111" w:type="dxa"/>
            <w:vAlign w:val="center"/>
          </w:tcPr>
          <w:p>
            <w:pPr>
              <w:widowControl/>
              <w:jc w:val="center"/>
              <w:rPr>
                <w:rFonts w:ascii="Times New Roman" w:hAnsi="Times New Roman"/>
                <w:kern w:val="0"/>
                <w:sz w:val="24"/>
                <w:szCs w:val="20"/>
              </w:rPr>
            </w:pPr>
          </w:p>
        </w:tc>
        <w:tc>
          <w:tcPr>
            <w:tcW w:w="1340"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111" w:type="dxa"/>
            <w:vAlign w:val="center"/>
          </w:tcPr>
          <w:p>
            <w:pPr>
              <w:widowControl/>
              <w:jc w:val="center"/>
              <w:rPr>
                <w:rFonts w:ascii="Times New Roman" w:hAnsi="Times New Roman"/>
                <w:kern w:val="0"/>
                <w:sz w:val="24"/>
                <w:szCs w:val="20"/>
              </w:rPr>
            </w:pPr>
          </w:p>
        </w:tc>
        <w:tc>
          <w:tcPr>
            <w:tcW w:w="1340"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111" w:type="dxa"/>
            <w:vAlign w:val="center"/>
          </w:tcPr>
          <w:p>
            <w:pPr>
              <w:widowControl/>
              <w:jc w:val="center"/>
              <w:rPr>
                <w:rFonts w:ascii="Times New Roman" w:hAnsi="Times New Roman"/>
                <w:kern w:val="0"/>
                <w:sz w:val="24"/>
                <w:szCs w:val="20"/>
              </w:rPr>
            </w:pPr>
          </w:p>
        </w:tc>
        <w:tc>
          <w:tcPr>
            <w:tcW w:w="1340"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p>
    <w:p>
      <w:pPr>
        <w:widowControl/>
        <w:spacing w:line="360" w:lineRule="auto"/>
        <w:jc w:val="both"/>
        <w:rPr>
          <w:rFonts w:ascii="Times New Roman" w:hAnsi="Times New Roman" w:eastAsia="黑体"/>
          <w:b/>
          <w:kern w:val="0"/>
          <w:sz w:val="32"/>
          <w:szCs w:val="32"/>
        </w:rPr>
      </w:pPr>
      <w:r>
        <w:rPr>
          <w:rFonts w:hint="eastAsia" w:ascii="Times New Roman" w:hAnsi="Times New Roman" w:eastAsia="黑体"/>
          <w:b/>
          <w:kern w:val="0"/>
          <w:sz w:val="32"/>
          <w:szCs w:val="32"/>
          <w:lang w:val="en-US" w:eastAsia="zh-CN"/>
        </w:rPr>
        <w:t>四</w:t>
      </w:r>
      <w:r>
        <w:rPr>
          <w:rFonts w:ascii="Times New Roman" w:hAnsi="Times New Roman" w:eastAsia="黑体"/>
          <w:b/>
          <w:kern w:val="0"/>
          <w:sz w:val="32"/>
          <w:szCs w:val="32"/>
        </w:rPr>
        <w:t>、商务要求应答表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259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2598"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294"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1294" w:type="dxa"/>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pPr>
              <w:widowControl/>
              <w:jc w:val="center"/>
              <w:rPr>
                <w:rFonts w:ascii="Times New Roman" w:hAnsi="Times New Roman"/>
                <w:kern w:val="0"/>
                <w:sz w:val="24"/>
                <w:szCs w:val="20"/>
              </w:rPr>
            </w:pPr>
          </w:p>
        </w:tc>
        <w:tc>
          <w:tcPr>
            <w:tcW w:w="2597" w:type="dxa"/>
            <w:vAlign w:val="center"/>
          </w:tcPr>
          <w:p>
            <w:pPr>
              <w:widowControl/>
              <w:jc w:val="center"/>
              <w:rPr>
                <w:rFonts w:ascii="Times New Roman" w:hAnsi="Times New Roman"/>
                <w:kern w:val="0"/>
                <w:sz w:val="24"/>
                <w:szCs w:val="20"/>
              </w:rPr>
            </w:pPr>
          </w:p>
        </w:tc>
        <w:tc>
          <w:tcPr>
            <w:tcW w:w="2598" w:type="dxa"/>
            <w:vAlign w:val="center"/>
          </w:tcPr>
          <w:p>
            <w:pPr>
              <w:widowControl/>
              <w:jc w:val="center"/>
              <w:rPr>
                <w:rFonts w:ascii="Times New Roman" w:hAnsi="Times New Roman"/>
                <w:kern w:val="0"/>
                <w:sz w:val="24"/>
                <w:szCs w:val="20"/>
              </w:rPr>
            </w:pPr>
          </w:p>
        </w:tc>
        <w:tc>
          <w:tcPr>
            <w:tcW w:w="1294" w:type="dxa"/>
            <w:vAlign w:val="center"/>
          </w:tcPr>
          <w:p>
            <w:pPr>
              <w:widowControl/>
              <w:jc w:val="center"/>
              <w:rPr>
                <w:rFonts w:ascii="Times New Roman" w:hAnsi="Times New Roman"/>
                <w:kern w:val="0"/>
                <w:sz w:val="24"/>
                <w:szCs w:val="20"/>
              </w:rPr>
            </w:pPr>
          </w:p>
        </w:tc>
        <w:tc>
          <w:tcPr>
            <w:tcW w:w="1294" w:type="dxa"/>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pPr>
              <w:widowControl/>
              <w:jc w:val="center"/>
              <w:rPr>
                <w:rFonts w:ascii="Times New Roman" w:hAnsi="Times New Roman"/>
                <w:kern w:val="0"/>
                <w:sz w:val="24"/>
                <w:szCs w:val="20"/>
              </w:rPr>
            </w:pPr>
          </w:p>
        </w:tc>
        <w:tc>
          <w:tcPr>
            <w:tcW w:w="2597" w:type="dxa"/>
            <w:vAlign w:val="center"/>
          </w:tcPr>
          <w:p>
            <w:pPr>
              <w:widowControl/>
              <w:jc w:val="center"/>
              <w:rPr>
                <w:rFonts w:ascii="Times New Roman" w:hAnsi="Times New Roman"/>
                <w:kern w:val="0"/>
                <w:sz w:val="24"/>
                <w:szCs w:val="20"/>
              </w:rPr>
            </w:pPr>
          </w:p>
        </w:tc>
        <w:tc>
          <w:tcPr>
            <w:tcW w:w="2598" w:type="dxa"/>
            <w:vAlign w:val="center"/>
          </w:tcPr>
          <w:p>
            <w:pPr>
              <w:widowControl/>
              <w:jc w:val="center"/>
              <w:rPr>
                <w:rFonts w:ascii="Times New Roman" w:hAnsi="Times New Roman"/>
                <w:kern w:val="0"/>
                <w:sz w:val="24"/>
                <w:szCs w:val="20"/>
              </w:rPr>
            </w:pPr>
          </w:p>
        </w:tc>
        <w:tc>
          <w:tcPr>
            <w:tcW w:w="1294" w:type="dxa"/>
            <w:vAlign w:val="center"/>
          </w:tcPr>
          <w:p>
            <w:pPr>
              <w:widowControl/>
              <w:jc w:val="center"/>
              <w:rPr>
                <w:rFonts w:ascii="Times New Roman" w:hAnsi="Times New Roman"/>
                <w:kern w:val="0"/>
                <w:sz w:val="24"/>
                <w:szCs w:val="20"/>
              </w:rPr>
            </w:pPr>
          </w:p>
        </w:tc>
        <w:tc>
          <w:tcPr>
            <w:tcW w:w="1294" w:type="dxa"/>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spacing w:line="360" w:lineRule="auto"/>
        <w:jc w:val="both"/>
        <w:rPr>
          <w:rFonts w:ascii="Times New Roman" w:hAnsi="Times New Roman" w:eastAsia="黑体"/>
          <w:b/>
          <w:kern w:val="0"/>
          <w:sz w:val="32"/>
          <w:szCs w:val="32"/>
        </w:rPr>
      </w:pPr>
      <w:r>
        <w:rPr>
          <w:rFonts w:hint="eastAsia" w:ascii="Times New Roman" w:hAnsi="Times New Roman" w:eastAsia="黑体"/>
          <w:b/>
          <w:kern w:val="0"/>
          <w:sz w:val="32"/>
          <w:szCs w:val="32"/>
          <w:lang w:val="en-US" w:eastAsia="zh-CN"/>
        </w:rPr>
        <w:t>五</w:t>
      </w:r>
      <w:r>
        <w:rPr>
          <w:rFonts w:ascii="Times New Roman" w:hAnsi="Times New Roman" w:eastAsia="黑体"/>
          <w:b/>
          <w:kern w:val="0"/>
          <w:sz w:val="32"/>
          <w:szCs w:val="32"/>
        </w:rPr>
        <w:t>、比选申请人类似项目业绩一览表</w:t>
      </w:r>
    </w:p>
    <w:tbl>
      <w:tblPr>
        <w:tblStyle w:val="21"/>
        <w:tblW w:w="91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ind w:firstLine="480" w:firstLineChars="200"/>
        <w:jc w:val="left"/>
        <w:rPr>
          <w:rFonts w:ascii="Times New Roman" w:hAnsi="Times New Roman"/>
          <w:b/>
          <w:kern w:val="0"/>
          <w:sz w:val="24"/>
        </w:rPr>
      </w:pPr>
      <w:bookmarkStart w:id="7" w:name="_Toc436385992"/>
      <w:bookmarkStart w:id="8" w:name="_Toc436820890"/>
      <w:bookmarkStart w:id="9" w:name="_Toc436404120"/>
      <w:bookmarkStart w:id="10" w:name="_Toc307564880"/>
      <w:bookmarkStart w:id="11" w:name="_Toc436410129"/>
      <w:r>
        <w:rPr>
          <w:rFonts w:ascii="Times New Roman" w:hAnsi="Times New Roman"/>
          <w:kern w:val="0"/>
          <w:sz w:val="24"/>
          <w:szCs w:val="20"/>
        </w:rPr>
        <w:br w:type="page"/>
      </w:r>
      <w:bookmarkEnd w:id="7"/>
      <w:bookmarkEnd w:id="8"/>
      <w:bookmarkEnd w:id="9"/>
      <w:bookmarkEnd w:id="10"/>
      <w:bookmarkEnd w:id="11"/>
    </w:p>
    <w:p>
      <w:pPr>
        <w:spacing w:line="360" w:lineRule="auto"/>
        <w:jc w:val="center"/>
        <w:rPr>
          <w:rFonts w:ascii="Times New Roman" w:hAnsi="Times New Roman"/>
          <w:b/>
          <w:kern w:val="0"/>
          <w:sz w:val="24"/>
        </w:rPr>
      </w:pPr>
    </w:p>
    <w:p>
      <w:pPr>
        <w:spacing w:line="360" w:lineRule="auto"/>
        <w:jc w:val="left"/>
        <w:rPr>
          <w:rFonts w:ascii="Times New Roman" w:hAnsi="Times New Roman"/>
          <w:b/>
          <w:sz w:val="32"/>
          <w:szCs w:val="32"/>
        </w:rPr>
      </w:pPr>
      <w:r>
        <w:rPr>
          <w:rFonts w:hint="eastAsia" w:ascii="Times New Roman" w:hAnsi="Times New Roman"/>
          <w:b/>
          <w:sz w:val="32"/>
          <w:szCs w:val="32"/>
          <w:lang w:val="en-US" w:eastAsia="zh-CN"/>
        </w:rPr>
        <w:t>六</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1"/>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83" w:type="dxa"/>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714" w:type="dxa"/>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1343" w:type="dxa"/>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672" w:type="dxa"/>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1176" w:type="dxa"/>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1176" w:type="dxa"/>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1116" w:type="dxa"/>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900" w:type="dxa"/>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842" w:type="dxa"/>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83" w:type="dxa"/>
            <w:vAlign w:val="center"/>
          </w:tcPr>
          <w:p>
            <w:pPr>
              <w:spacing w:line="360" w:lineRule="auto"/>
              <w:ind w:left="-105" w:leftChars="-50" w:right="-105" w:rightChars="-50"/>
              <w:jc w:val="center"/>
              <w:rPr>
                <w:rFonts w:ascii="Times New Roman" w:hAnsi="Times New Roman"/>
                <w:sz w:val="24"/>
              </w:rPr>
            </w:pPr>
          </w:p>
        </w:tc>
        <w:tc>
          <w:tcPr>
            <w:tcW w:w="714" w:type="dxa"/>
            <w:vAlign w:val="center"/>
          </w:tcPr>
          <w:p>
            <w:pPr>
              <w:spacing w:line="360" w:lineRule="auto"/>
              <w:ind w:left="-105" w:leftChars="-50" w:right="-105" w:rightChars="-50"/>
              <w:jc w:val="center"/>
              <w:rPr>
                <w:rFonts w:ascii="Times New Roman" w:hAnsi="Times New Roman"/>
                <w:sz w:val="24"/>
              </w:rPr>
            </w:pPr>
          </w:p>
        </w:tc>
        <w:tc>
          <w:tcPr>
            <w:tcW w:w="1343" w:type="dxa"/>
            <w:vAlign w:val="center"/>
          </w:tcPr>
          <w:p>
            <w:pPr>
              <w:spacing w:line="360" w:lineRule="auto"/>
              <w:ind w:left="-105" w:leftChars="-50" w:right="-105" w:rightChars="-50"/>
              <w:jc w:val="center"/>
              <w:rPr>
                <w:rFonts w:ascii="Times New Roman" w:hAnsi="Times New Roman"/>
                <w:sz w:val="24"/>
              </w:rPr>
            </w:pPr>
          </w:p>
        </w:tc>
        <w:tc>
          <w:tcPr>
            <w:tcW w:w="672" w:type="dxa"/>
            <w:vAlign w:val="center"/>
          </w:tcPr>
          <w:p>
            <w:pPr>
              <w:spacing w:line="360" w:lineRule="auto"/>
              <w:ind w:left="-105" w:leftChars="-50" w:right="-105" w:rightChars="-50"/>
              <w:jc w:val="center"/>
              <w:rPr>
                <w:rFonts w:ascii="Times New Roman" w:hAnsi="Times New Roman"/>
                <w:sz w:val="24"/>
              </w:rPr>
            </w:pPr>
          </w:p>
        </w:tc>
        <w:tc>
          <w:tcPr>
            <w:tcW w:w="1176" w:type="dxa"/>
            <w:vAlign w:val="center"/>
          </w:tcPr>
          <w:p>
            <w:pPr>
              <w:spacing w:line="360" w:lineRule="auto"/>
              <w:ind w:left="-105" w:leftChars="-50" w:right="-105" w:rightChars="-50"/>
              <w:jc w:val="center"/>
              <w:rPr>
                <w:rFonts w:ascii="Times New Roman" w:hAnsi="Times New Roman"/>
                <w:sz w:val="24"/>
              </w:rPr>
            </w:pPr>
          </w:p>
        </w:tc>
        <w:tc>
          <w:tcPr>
            <w:tcW w:w="1176" w:type="dxa"/>
            <w:vAlign w:val="center"/>
          </w:tcPr>
          <w:p>
            <w:pPr>
              <w:spacing w:line="360" w:lineRule="auto"/>
              <w:ind w:left="-105" w:leftChars="-50" w:right="-105" w:rightChars="-50"/>
              <w:jc w:val="center"/>
              <w:rPr>
                <w:rFonts w:ascii="Times New Roman" w:hAnsi="Times New Roman"/>
                <w:sz w:val="24"/>
              </w:rPr>
            </w:pPr>
          </w:p>
        </w:tc>
        <w:tc>
          <w:tcPr>
            <w:tcW w:w="1116" w:type="dxa"/>
            <w:vAlign w:val="center"/>
          </w:tcPr>
          <w:p>
            <w:pPr>
              <w:spacing w:line="360" w:lineRule="auto"/>
              <w:ind w:left="-105" w:leftChars="-50" w:right="-105" w:rightChars="-50"/>
              <w:jc w:val="center"/>
              <w:rPr>
                <w:rFonts w:ascii="Times New Roman" w:hAnsi="Times New Roman"/>
                <w:sz w:val="24"/>
              </w:rPr>
            </w:pPr>
          </w:p>
        </w:tc>
        <w:tc>
          <w:tcPr>
            <w:tcW w:w="900" w:type="dxa"/>
            <w:vAlign w:val="center"/>
          </w:tcPr>
          <w:p>
            <w:pPr>
              <w:spacing w:line="360" w:lineRule="auto"/>
              <w:ind w:left="-105" w:leftChars="-50" w:right="-105" w:rightChars="-50"/>
              <w:jc w:val="center"/>
              <w:rPr>
                <w:rFonts w:ascii="Times New Roman" w:hAnsi="Times New Roman"/>
                <w:sz w:val="24"/>
              </w:rPr>
            </w:pPr>
          </w:p>
        </w:tc>
        <w:tc>
          <w:tcPr>
            <w:tcW w:w="842" w:type="dxa"/>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83" w:type="dxa"/>
            <w:vAlign w:val="center"/>
          </w:tcPr>
          <w:p>
            <w:pPr>
              <w:spacing w:line="360" w:lineRule="auto"/>
              <w:ind w:left="-105" w:leftChars="-50" w:right="-105" w:rightChars="-50"/>
              <w:jc w:val="center"/>
              <w:rPr>
                <w:rFonts w:ascii="Times New Roman" w:hAnsi="Times New Roman"/>
                <w:sz w:val="24"/>
              </w:rPr>
            </w:pPr>
          </w:p>
        </w:tc>
        <w:tc>
          <w:tcPr>
            <w:tcW w:w="714" w:type="dxa"/>
            <w:vAlign w:val="center"/>
          </w:tcPr>
          <w:p>
            <w:pPr>
              <w:spacing w:line="360" w:lineRule="auto"/>
              <w:ind w:left="-105" w:leftChars="-50" w:right="-105" w:rightChars="-50"/>
              <w:jc w:val="center"/>
              <w:rPr>
                <w:rFonts w:ascii="Times New Roman" w:hAnsi="Times New Roman"/>
                <w:sz w:val="24"/>
              </w:rPr>
            </w:pPr>
          </w:p>
        </w:tc>
        <w:tc>
          <w:tcPr>
            <w:tcW w:w="1343" w:type="dxa"/>
            <w:vAlign w:val="center"/>
          </w:tcPr>
          <w:p>
            <w:pPr>
              <w:spacing w:line="360" w:lineRule="auto"/>
              <w:ind w:left="-105" w:leftChars="-50" w:right="-105" w:rightChars="-50"/>
              <w:jc w:val="center"/>
              <w:rPr>
                <w:rFonts w:ascii="Times New Roman" w:hAnsi="Times New Roman"/>
                <w:sz w:val="24"/>
              </w:rPr>
            </w:pPr>
          </w:p>
        </w:tc>
        <w:tc>
          <w:tcPr>
            <w:tcW w:w="672" w:type="dxa"/>
            <w:vAlign w:val="center"/>
          </w:tcPr>
          <w:p>
            <w:pPr>
              <w:spacing w:line="360" w:lineRule="auto"/>
              <w:ind w:left="-105" w:leftChars="-50" w:right="-105" w:rightChars="-50"/>
              <w:jc w:val="center"/>
              <w:rPr>
                <w:rFonts w:ascii="Times New Roman" w:hAnsi="Times New Roman"/>
                <w:sz w:val="24"/>
              </w:rPr>
            </w:pPr>
          </w:p>
        </w:tc>
        <w:tc>
          <w:tcPr>
            <w:tcW w:w="1176" w:type="dxa"/>
            <w:vAlign w:val="center"/>
          </w:tcPr>
          <w:p>
            <w:pPr>
              <w:spacing w:line="360" w:lineRule="auto"/>
              <w:ind w:left="-105" w:leftChars="-50" w:right="-105" w:rightChars="-50"/>
              <w:jc w:val="center"/>
              <w:rPr>
                <w:rFonts w:ascii="Times New Roman" w:hAnsi="Times New Roman"/>
                <w:sz w:val="24"/>
              </w:rPr>
            </w:pPr>
          </w:p>
        </w:tc>
        <w:tc>
          <w:tcPr>
            <w:tcW w:w="1176" w:type="dxa"/>
            <w:vAlign w:val="center"/>
          </w:tcPr>
          <w:p>
            <w:pPr>
              <w:spacing w:line="360" w:lineRule="auto"/>
              <w:ind w:left="-105" w:leftChars="-50" w:right="-105" w:rightChars="-50"/>
              <w:jc w:val="center"/>
              <w:rPr>
                <w:rFonts w:ascii="Times New Roman" w:hAnsi="Times New Roman"/>
                <w:sz w:val="24"/>
              </w:rPr>
            </w:pPr>
          </w:p>
        </w:tc>
        <w:tc>
          <w:tcPr>
            <w:tcW w:w="1116" w:type="dxa"/>
            <w:vAlign w:val="center"/>
          </w:tcPr>
          <w:p>
            <w:pPr>
              <w:spacing w:line="360" w:lineRule="auto"/>
              <w:ind w:left="-105" w:leftChars="-50" w:right="-105" w:rightChars="-50"/>
              <w:jc w:val="center"/>
              <w:rPr>
                <w:rFonts w:ascii="Times New Roman" w:hAnsi="Times New Roman"/>
                <w:sz w:val="24"/>
              </w:rPr>
            </w:pPr>
          </w:p>
        </w:tc>
        <w:tc>
          <w:tcPr>
            <w:tcW w:w="900" w:type="dxa"/>
            <w:vAlign w:val="center"/>
          </w:tcPr>
          <w:p>
            <w:pPr>
              <w:spacing w:line="360" w:lineRule="auto"/>
              <w:ind w:left="-105" w:leftChars="-50" w:right="-105" w:rightChars="-50"/>
              <w:jc w:val="center"/>
              <w:rPr>
                <w:rFonts w:ascii="Times New Roman" w:hAnsi="Times New Roman"/>
                <w:sz w:val="24"/>
              </w:rPr>
            </w:pPr>
          </w:p>
        </w:tc>
        <w:tc>
          <w:tcPr>
            <w:tcW w:w="842" w:type="dxa"/>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83" w:type="dxa"/>
            <w:vAlign w:val="center"/>
          </w:tcPr>
          <w:p>
            <w:pPr>
              <w:spacing w:line="360" w:lineRule="auto"/>
              <w:ind w:left="-105" w:leftChars="-50" w:right="-105" w:rightChars="-50"/>
              <w:jc w:val="center"/>
              <w:rPr>
                <w:rFonts w:ascii="Times New Roman" w:hAnsi="Times New Roman"/>
                <w:sz w:val="24"/>
              </w:rPr>
            </w:pPr>
          </w:p>
        </w:tc>
        <w:tc>
          <w:tcPr>
            <w:tcW w:w="714" w:type="dxa"/>
            <w:vAlign w:val="center"/>
          </w:tcPr>
          <w:p>
            <w:pPr>
              <w:spacing w:line="360" w:lineRule="auto"/>
              <w:ind w:left="-105" w:leftChars="-50" w:right="-105" w:rightChars="-50"/>
              <w:jc w:val="center"/>
              <w:rPr>
                <w:rFonts w:ascii="Times New Roman" w:hAnsi="Times New Roman"/>
                <w:sz w:val="24"/>
              </w:rPr>
            </w:pPr>
          </w:p>
        </w:tc>
        <w:tc>
          <w:tcPr>
            <w:tcW w:w="1343" w:type="dxa"/>
            <w:vAlign w:val="center"/>
          </w:tcPr>
          <w:p>
            <w:pPr>
              <w:spacing w:line="360" w:lineRule="auto"/>
              <w:ind w:left="-105" w:leftChars="-50" w:right="-105" w:rightChars="-50"/>
              <w:jc w:val="center"/>
              <w:rPr>
                <w:rFonts w:ascii="Times New Roman" w:hAnsi="Times New Roman"/>
                <w:sz w:val="24"/>
              </w:rPr>
            </w:pPr>
          </w:p>
        </w:tc>
        <w:tc>
          <w:tcPr>
            <w:tcW w:w="672" w:type="dxa"/>
            <w:vAlign w:val="center"/>
          </w:tcPr>
          <w:p>
            <w:pPr>
              <w:spacing w:line="360" w:lineRule="auto"/>
              <w:ind w:left="-105" w:leftChars="-50" w:right="-105" w:rightChars="-50"/>
              <w:jc w:val="center"/>
              <w:rPr>
                <w:rFonts w:ascii="Times New Roman" w:hAnsi="Times New Roman"/>
                <w:sz w:val="24"/>
              </w:rPr>
            </w:pPr>
          </w:p>
        </w:tc>
        <w:tc>
          <w:tcPr>
            <w:tcW w:w="1176" w:type="dxa"/>
            <w:vAlign w:val="center"/>
          </w:tcPr>
          <w:p>
            <w:pPr>
              <w:spacing w:line="360" w:lineRule="auto"/>
              <w:ind w:left="-105" w:leftChars="-50" w:right="-105" w:rightChars="-50"/>
              <w:jc w:val="center"/>
              <w:rPr>
                <w:rFonts w:ascii="Times New Roman" w:hAnsi="Times New Roman"/>
                <w:sz w:val="24"/>
              </w:rPr>
            </w:pPr>
          </w:p>
        </w:tc>
        <w:tc>
          <w:tcPr>
            <w:tcW w:w="1176" w:type="dxa"/>
            <w:vAlign w:val="center"/>
          </w:tcPr>
          <w:p>
            <w:pPr>
              <w:spacing w:line="360" w:lineRule="auto"/>
              <w:ind w:left="-105" w:leftChars="-50" w:right="-105" w:rightChars="-50"/>
              <w:jc w:val="center"/>
              <w:rPr>
                <w:rFonts w:ascii="Times New Roman" w:hAnsi="Times New Roman"/>
                <w:sz w:val="24"/>
              </w:rPr>
            </w:pPr>
          </w:p>
        </w:tc>
        <w:tc>
          <w:tcPr>
            <w:tcW w:w="1116" w:type="dxa"/>
            <w:vAlign w:val="center"/>
          </w:tcPr>
          <w:p>
            <w:pPr>
              <w:spacing w:line="360" w:lineRule="auto"/>
              <w:ind w:left="-105" w:leftChars="-50" w:right="-105" w:rightChars="-50"/>
              <w:jc w:val="center"/>
              <w:rPr>
                <w:rFonts w:ascii="Times New Roman" w:hAnsi="Times New Roman"/>
                <w:sz w:val="24"/>
              </w:rPr>
            </w:pPr>
          </w:p>
        </w:tc>
        <w:tc>
          <w:tcPr>
            <w:tcW w:w="900" w:type="dxa"/>
            <w:vAlign w:val="center"/>
          </w:tcPr>
          <w:p>
            <w:pPr>
              <w:spacing w:line="360" w:lineRule="auto"/>
              <w:ind w:left="-105" w:leftChars="-50" w:right="-105" w:rightChars="-50"/>
              <w:jc w:val="center"/>
              <w:rPr>
                <w:rFonts w:ascii="Times New Roman" w:hAnsi="Times New Roman"/>
                <w:sz w:val="24"/>
              </w:rPr>
            </w:pPr>
          </w:p>
        </w:tc>
        <w:tc>
          <w:tcPr>
            <w:tcW w:w="842" w:type="dxa"/>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22" w:type="dxa"/>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rPr>
          <w:rFonts w:ascii="Times New Roman" w:hAnsi="Times New Roman"/>
          <w:b/>
          <w:sz w:val="24"/>
        </w:rPr>
      </w:pPr>
      <w:r>
        <w:rPr>
          <w:rFonts w:ascii="Times New Roman" w:hAnsi="Times New Roman"/>
          <w:sz w:val="24"/>
        </w:rPr>
        <w:br w:type="page"/>
      </w:r>
    </w:p>
    <w:p>
      <w:pPr>
        <w:spacing w:line="360" w:lineRule="auto"/>
        <w:rPr>
          <w:rFonts w:ascii="Times New Roman" w:hAnsi="Times New Roman"/>
          <w:sz w:val="24"/>
        </w:rPr>
      </w:pPr>
    </w:p>
    <w:p>
      <w:pPr>
        <w:spacing w:line="360" w:lineRule="auto"/>
        <w:jc w:val="left"/>
        <w:outlineLvl w:val="1"/>
        <w:rPr>
          <w:rFonts w:ascii="Times New Roman" w:hAnsi="Times New Roman" w:eastAsia="黑体"/>
          <w:b/>
          <w:sz w:val="32"/>
          <w:szCs w:val="32"/>
        </w:rPr>
      </w:pPr>
      <w:bookmarkStart w:id="12" w:name="_Toc52036333"/>
      <w:r>
        <w:rPr>
          <w:rFonts w:hint="eastAsia" w:ascii="Times New Roman" w:hAnsi="Times New Roman" w:eastAsia="黑体"/>
          <w:b/>
          <w:sz w:val="32"/>
          <w:szCs w:val="32"/>
          <w:lang w:val="en-US" w:eastAsia="zh-CN"/>
        </w:rPr>
        <w:t>七</w:t>
      </w:r>
      <w:r>
        <w:rPr>
          <w:rFonts w:ascii="Times New Roman" w:hAnsi="Times New Roman" w:eastAsia="黑体"/>
          <w:b/>
          <w:sz w:val="32"/>
          <w:szCs w:val="32"/>
        </w:rPr>
        <w:t>、分项报价明细表</w:t>
      </w:r>
      <w:bookmarkEnd w:id="12"/>
    </w:p>
    <w:p>
      <w:pPr>
        <w:spacing w:line="360" w:lineRule="auto"/>
        <w:rPr>
          <w:rFonts w:ascii="Times New Roman" w:hAnsi="Times New Roman"/>
          <w:b/>
          <w:bCs/>
          <w:sz w:val="24"/>
        </w:rPr>
      </w:pPr>
    </w:p>
    <w:p>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tbl>
      <w:tblPr>
        <w:tblStyle w:val="21"/>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设备名称</w:t>
            </w:r>
          </w:p>
        </w:tc>
        <w:tc>
          <w:tcPr>
            <w:tcW w:w="1134"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数量</w:t>
            </w:r>
          </w:p>
        </w:tc>
        <w:tc>
          <w:tcPr>
            <w:tcW w:w="1418"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单价</w:t>
            </w:r>
          </w:p>
        </w:tc>
        <w:tc>
          <w:tcPr>
            <w:tcW w:w="1276"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规格型号</w:t>
            </w:r>
          </w:p>
        </w:tc>
        <w:tc>
          <w:tcPr>
            <w:tcW w:w="1559"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总价（</w:t>
            </w:r>
            <w:r>
              <w:rPr>
                <w:rFonts w:hint="eastAsia" w:ascii="Times New Roman" w:hAnsi="Times New Roman"/>
                <w:b/>
                <w:sz w:val="24"/>
              </w:rPr>
              <w:t>万</w:t>
            </w:r>
            <w:r>
              <w:rPr>
                <w:rFonts w:ascii="Times New Roman" w:hAnsi="Times New Roman"/>
                <w:b/>
                <w:sz w:val="24"/>
              </w:rPr>
              <w:t>元）</w:t>
            </w:r>
          </w:p>
        </w:tc>
        <w:tc>
          <w:tcPr>
            <w:tcW w:w="1326"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156" w:beforeLines="50" w:after="156" w:afterLines="50"/>
              <w:ind w:left="-105" w:leftChars="-50" w:right="-105" w:rightChars="-50"/>
              <w:jc w:val="left"/>
              <w:rPr>
                <w:rFonts w:ascii="Times New Roman" w:hAnsi="Times New Roman"/>
                <w:b/>
                <w:sz w:val="24"/>
              </w:rPr>
            </w:pPr>
            <w:r>
              <w:rPr>
                <w:rFonts w:ascii="Times New Roman" w:hAnsi="Times New Roman"/>
                <w:b/>
                <w:sz w:val="24"/>
              </w:rPr>
              <w:t>分项报价合计（</w:t>
            </w:r>
            <w:r>
              <w:rPr>
                <w:rFonts w:hint="eastAsia" w:ascii="Times New Roman" w:hAnsi="Times New Roman"/>
                <w:b/>
                <w:sz w:val="24"/>
              </w:rPr>
              <w:t>万</w:t>
            </w:r>
            <w:r>
              <w:rPr>
                <w:rFonts w:ascii="Times New Roman" w:hAnsi="Times New Roman"/>
                <w:b/>
                <w:sz w:val="24"/>
              </w:rPr>
              <w:t>元）：          大写：</w:t>
            </w:r>
          </w:p>
        </w:tc>
      </w:tr>
    </w:tbl>
    <w:p>
      <w:pPr>
        <w:spacing w:line="360" w:lineRule="auto"/>
        <w:rPr>
          <w:rFonts w:ascii="Times New Roman" w:hAnsi="Times New Roman"/>
          <w:b/>
          <w:sz w:val="24"/>
        </w:rPr>
      </w:pPr>
      <w:r>
        <w:rPr>
          <w:rFonts w:ascii="Times New Roman" w:hAnsi="Times New Roman"/>
          <w:b/>
          <w:sz w:val="24"/>
        </w:rPr>
        <w:t>注：</w:t>
      </w:r>
    </w:p>
    <w:p>
      <w:pPr>
        <w:spacing w:line="360" w:lineRule="auto"/>
        <w:ind w:left="850" w:leftChars="229" w:hanging="369" w:hangingChars="154"/>
        <w:rPr>
          <w:rFonts w:ascii="Times New Roman" w:hAnsi="Times New Roman"/>
          <w:sz w:val="24"/>
        </w:rPr>
      </w:pPr>
      <w:r>
        <w:rPr>
          <w:rFonts w:ascii="Times New Roman" w:hAnsi="Times New Roman"/>
          <w:sz w:val="24"/>
        </w:rPr>
        <w:t>1、比选申请人人必须按“分项报价明细表”的格式详细报出投标总价的各个组成部分的报价，无法细分出报价组成因素的可直接报总价。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sz w:val="24"/>
        </w:rPr>
      </w:pPr>
      <w:r>
        <w:rPr>
          <w:rFonts w:ascii="Times New Roman" w:hAnsi="Times New Roman"/>
          <w:sz w:val="24"/>
        </w:rPr>
        <w:t>2、“分项报价明细表”各分项报价合计应当与“报价表”报价合计相等。</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jc w:val="center"/>
        <w:rPr>
          <w:rFonts w:ascii="Times New Roman" w:hAnsi="Times New Roman"/>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r>
        <w:rPr>
          <w:rFonts w:ascii="Times New Roman" w:hAnsi="Times New Roman"/>
          <w:bCs/>
          <w:kern w:val="0"/>
          <w:sz w:val="24"/>
        </w:rPr>
        <w:br w:type="page"/>
      </w:r>
      <w:bookmarkEnd w:id="3"/>
      <w:bookmarkEnd w:id="4"/>
      <w:bookmarkStart w:id="13" w:name="_Toc520455385"/>
      <w:r>
        <w:rPr>
          <w:rFonts w:ascii="Times New Roman" w:hAnsi="Times New Roman"/>
          <w:b/>
          <w:bCs/>
          <w:kern w:val="0"/>
          <w:sz w:val="32"/>
          <w:szCs w:val="32"/>
        </w:rPr>
        <w:t xml:space="preserve"> </w:t>
      </w:r>
      <w:r>
        <w:rPr>
          <w:rFonts w:hint="eastAsia" w:ascii="Times New Roman" w:hAnsi="Times New Roman"/>
          <w:b/>
          <w:bCs/>
          <w:kern w:val="0"/>
          <w:sz w:val="32"/>
          <w:szCs w:val="32"/>
        </w:rPr>
        <w:t>第四章 评标与定标</w:t>
      </w:r>
    </w:p>
    <w:p>
      <w:pPr>
        <w:widowControl/>
        <w:adjustRightInd w:val="0"/>
        <w:snapToGrid w:val="0"/>
        <w:spacing w:line="400" w:lineRule="exact"/>
        <w:ind w:firstLine="480" w:firstLineChars="200"/>
        <w:jc w:val="left"/>
        <w:rPr>
          <w:rFonts w:ascii="Times New Roman" w:hAnsi="Times New Roman"/>
          <w:bCs/>
          <w:kern w:val="0"/>
          <w:sz w:val="24"/>
          <w:szCs w:val="20"/>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p>
    <w:p>
      <w:pPr>
        <w:widowControl/>
        <w:adjustRightInd w:val="0"/>
        <w:snapToGrid w:val="0"/>
        <w:spacing w:line="400" w:lineRule="exact"/>
        <w:ind w:firstLine="482" w:firstLineChars="200"/>
        <w:jc w:val="left"/>
        <w:rPr>
          <w:rFonts w:ascii="Times New Roman" w:hAnsi="Times New Roman"/>
          <w:b/>
          <w:bCs/>
          <w:kern w:val="0"/>
          <w:sz w:val="24"/>
          <w:szCs w:val="20"/>
        </w:rPr>
      </w:pPr>
      <w:r>
        <w:rPr>
          <w:rFonts w:ascii="Times New Roman" w:hAnsi="Times New Roman"/>
          <w:b/>
          <w:bCs/>
          <w:kern w:val="0"/>
          <w:sz w:val="24"/>
          <w:szCs w:val="20"/>
        </w:rPr>
        <w:t>综合评分明细表</w:t>
      </w:r>
      <w:r>
        <w:rPr>
          <w:rFonts w:hint="eastAsia" w:ascii="Times New Roman" w:hAnsi="Times New Roman"/>
          <w:b/>
          <w:bCs/>
          <w:kern w:val="0"/>
          <w:sz w:val="24"/>
          <w:szCs w:val="20"/>
        </w:rPr>
        <w:t>：</w:t>
      </w:r>
    </w:p>
    <w:bookmarkEnd w:id="13"/>
    <w:p>
      <w:pPr>
        <w:widowControl/>
        <w:adjustRightInd w:val="0"/>
        <w:snapToGrid w:val="0"/>
        <w:spacing w:line="400" w:lineRule="exact"/>
        <w:ind w:firstLine="482" w:firstLineChars="200"/>
        <w:jc w:val="left"/>
        <w:rPr>
          <w:rFonts w:ascii="Times New Roman" w:hAnsi="Times New Roman"/>
          <w:b/>
          <w:bCs/>
          <w:kern w:val="0"/>
          <w:sz w:val="24"/>
          <w:szCs w:val="20"/>
        </w:rPr>
      </w:pPr>
    </w:p>
    <w:tbl>
      <w:tblPr>
        <w:tblStyle w:val="21"/>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30"/>
        <w:gridCol w:w="864"/>
        <w:gridCol w:w="298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ascii="宋体" w:hAnsi="宋体"/>
                <w:szCs w:val="21"/>
              </w:rPr>
            </w:pPr>
            <w:r>
              <w:rPr>
                <w:rFonts w:hint="eastAsia" w:ascii="宋体" w:hAnsi="宋体"/>
                <w:szCs w:val="21"/>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szCs w:val="21"/>
              </w:rPr>
            </w:pPr>
            <w:r>
              <w:rPr>
                <w:rFonts w:hint="eastAsia" w:ascii="宋体" w:hAnsi="宋体"/>
                <w:szCs w:val="21"/>
              </w:rPr>
              <w:t>评分因素及权重</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szCs w:val="21"/>
              </w:rPr>
            </w:pPr>
            <w:r>
              <w:rPr>
                <w:rFonts w:hint="eastAsia" w:ascii="宋体" w:hAnsi="宋体"/>
                <w:szCs w:val="21"/>
              </w:rPr>
              <w:t>分值</w:t>
            </w:r>
          </w:p>
        </w:tc>
        <w:tc>
          <w:tcPr>
            <w:tcW w:w="2989"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szCs w:val="21"/>
              </w:rPr>
            </w:pPr>
            <w:r>
              <w:rPr>
                <w:rFonts w:hint="eastAsia" w:ascii="宋体" w:hAnsi="宋体"/>
                <w:szCs w:val="21"/>
              </w:rPr>
              <w:t>评分标准</w:t>
            </w:r>
          </w:p>
        </w:tc>
        <w:tc>
          <w:tcPr>
            <w:tcW w:w="22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ascii="宋体" w:hAnsi="宋体"/>
                <w:bCs/>
                <w:szCs w:val="21"/>
              </w:rPr>
              <w:t>1</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报价30%</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ascii="宋体" w:hAnsi="宋体"/>
                <w:bCs/>
                <w:szCs w:val="21"/>
              </w:rPr>
              <w:t>30</w:t>
            </w:r>
          </w:p>
        </w:tc>
        <w:tc>
          <w:tcPr>
            <w:tcW w:w="2989"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以本次符合要求的最低的有效投标报价为基准价，投标报价得分</w:t>
            </w:r>
            <w:r>
              <w:rPr>
                <w:rFonts w:ascii="宋体" w:hAnsi="宋体"/>
                <w:szCs w:val="21"/>
              </w:rPr>
              <w:t>=（基准价／投标报价）×30（保留小数点后两位，四舍五入）。</w:t>
            </w:r>
          </w:p>
        </w:tc>
        <w:tc>
          <w:tcPr>
            <w:tcW w:w="22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ascii="宋体" w:hAnsi="宋体"/>
                <w:bCs/>
                <w:szCs w:val="21"/>
              </w:rPr>
              <w:t>2</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技术指标和配置</w:t>
            </w:r>
            <w:r>
              <w:rPr>
                <w:rFonts w:hint="eastAsia" w:ascii="宋体" w:hAnsi="宋体"/>
                <w:bCs/>
                <w:szCs w:val="21"/>
                <w:lang w:val="en-US" w:eastAsia="zh-CN"/>
              </w:rPr>
              <w:t>56</w:t>
            </w:r>
            <w:r>
              <w:rPr>
                <w:rFonts w:hint="eastAsia" w:ascii="宋体" w:hAnsi="宋体"/>
                <w:bCs/>
                <w:szCs w:val="21"/>
              </w:rPr>
              <w:t>%</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szCs w:val="21"/>
                <w:lang w:val="en-US" w:eastAsia="zh-CN"/>
              </w:rPr>
            </w:pPr>
            <w:r>
              <w:rPr>
                <w:rFonts w:hint="eastAsia" w:ascii="宋体" w:hAnsi="宋体"/>
                <w:bCs/>
                <w:szCs w:val="21"/>
                <w:lang w:val="en-US" w:eastAsia="zh-CN"/>
              </w:rPr>
              <w:t>56</w:t>
            </w:r>
          </w:p>
        </w:tc>
        <w:tc>
          <w:tcPr>
            <w:tcW w:w="2989"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完全符合招标文件要求没有负偏离得</w:t>
            </w:r>
            <w:r>
              <w:rPr>
                <w:rFonts w:hint="eastAsia" w:ascii="宋体" w:hAnsi="宋体"/>
                <w:szCs w:val="21"/>
                <w:lang w:val="en-US" w:eastAsia="zh-CN"/>
              </w:rPr>
              <w:t>54</w:t>
            </w:r>
            <w:r>
              <w:rPr>
                <w:rFonts w:ascii="宋体" w:hAnsi="宋体"/>
                <w:szCs w:val="21"/>
              </w:rPr>
              <w:t>分；星号条款(标注▲)的技术参数，一条不满足扣</w:t>
            </w:r>
            <w:r>
              <w:rPr>
                <w:rFonts w:hint="eastAsia" w:ascii="宋体" w:hAnsi="宋体"/>
                <w:szCs w:val="21"/>
                <w:lang w:val="en-US" w:eastAsia="zh-CN"/>
              </w:rPr>
              <w:t>4</w:t>
            </w:r>
            <w:r>
              <w:rPr>
                <w:rFonts w:ascii="宋体" w:hAnsi="宋体"/>
                <w:szCs w:val="21"/>
              </w:rPr>
              <w:t>分，非星号条款的技术参数，一条不满足扣</w:t>
            </w:r>
            <w:r>
              <w:rPr>
                <w:rFonts w:hint="eastAsia" w:ascii="宋体" w:hAnsi="宋体"/>
                <w:szCs w:val="21"/>
                <w:lang w:val="en-US" w:eastAsia="zh-CN"/>
              </w:rPr>
              <w:t>2.5</w:t>
            </w:r>
            <w:r>
              <w:rPr>
                <w:rFonts w:ascii="宋体" w:hAnsi="宋体"/>
                <w:szCs w:val="21"/>
              </w:rPr>
              <w:t>分（实质性要求除外），扣完为止。</w:t>
            </w:r>
          </w:p>
        </w:tc>
        <w:tc>
          <w:tcPr>
            <w:tcW w:w="22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ascii="宋体" w:hAnsi="宋体"/>
                <w:bCs/>
                <w:szCs w:val="21"/>
              </w:rPr>
              <w:t>3</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履约能力</w:t>
            </w:r>
            <w:r>
              <w:rPr>
                <w:rFonts w:hint="eastAsia" w:ascii="宋体" w:hAnsi="宋体"/>
                <w:bCs/>
                <w:szCs w:val="21"/>
                <w:lang w:val="en-US" w:eastAsia="zh-CN"/>
              </w:rPr>
              <w:t>8</w:t>
            </w:r>
            <w:r>
              <w:rPr>
                <w:rFonts w:hint="eastAsia" w:ascii="宋体" w:hAnsi="宋体"/>
                <w:bCs/>
                <w:szCs w:val="21"/>
              </w:rPr>
              <w:t>%</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szCs w:val="21"/>
                <w:lang w:val="en-US" w:eastAsia="zh-CN"/>
              </w:rPr>
            </w:pPr>
            <w:r>
              <w:rPr>
                <w:rFonts w:hint="eastAsia" w:ascii="宋体" w:hAnsi="宋体"/>
                <w:bCs/>
                <w:szCs w:val="21"/>
                <w:lang w:val="en-US" w:eastAsia="zh-CN"/>
              </w:rPr>
              <w:t>8</w:t>
            </w:r>
          </w:p>
        </w:tc>
        <w:tc>
          <w:tcPr>
            <w:tcW w:w="2989"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根据投标人</w:t>
            </w:r>
            <w:r>
              <w:rPr>
                <w:rFonts w:ascii="宋体" w:hAnsi="宋体"/>
                <w:szCs w:val="21"/>
              </w:rPr>
              <w:t>20</w:t>
            </w:r>
            <w:r>
              <w:rPr>
                <w:rFonts w:hint="eastAsia" w:ascii="宋体" w:hAnsi="宋体"/>
                <w:szCs w:val="21"/>
              </w:rPr>
              <w:t>20</w:t>
            </w:r>
            <w:r>
              <w:rPr>
                <w:rFonts w:ascii="宋体" w:hAnsi="宋体"/>
                <w:szCs w:val="21"/>
              </w:rPr>
              <w:t>年以来</w:t>
            </w:r>
            <w:r>
              <w:rPr>
                <w:rFonts w:hint="eastAsia" w:ascii="宋体" w:hAnsi="宋体"/>
                <w:szCs w:val="21"/>
              </w:rPr>
              <w:t>类似</w:t>
            </w:r>
            <w:r>
              <w:rPr>
                <w:rFonts w:ascii="宋体" w:hAnsi="宋体"/>
                <w:szCs w:val="21"/>
              </w:rPr>
              <w:t>业绩计算，</w:t>
            </w:r>
            <w:r>
              <w:rPr>
                <w:rFonts w:hint="eastAsia" w:ascii="宋体" w:hAnsi="宋体"/>
                <w:szCs w:val="21"/>
              </w:rPr>
              <w:t>每提供</w:t>
            </w:r>
            <w:r>
              <w:rPr>
                <w:rFonts w:ascii="宋体" w:hAnsi="宋体"/>
                <w:szCs w:val="21"/>
              </w:rPr>
              <w:t>合同一个得</w:t>
            </w:r>
            <w:r>
              <w:rPr>
                <w:rFonts w:hint="eastAsia" w:ascii="宋体" w:hAnsi="宋体"/>
                <w:szCs w:val="21"/>
                <w:lang w:val="en-US" w:eastAsia="zh-CN"/>
              </w:rPr>
              <w:t>1</w:t>
            </w:r>
            <w:r>
              <w:rPr>
                <w:rFonts w:ascii="宋体" w:hAnsi="宋体"/>
                <w:szCs w:val="21"/>
              </w:rPr>
              <w:t>分，最多得</w:t>
            </w:r>
            <w:r>
              <w:rPr>
                <w:rFonts w:hint="eastAsia" w:ascii="宋体" w:hAnsi="宋体"/>
                <w:szCs w:val="21"/>
                <w:lang w:val="en-US" w:eastAsia="zh-CN"/>
              </w:rPr>
              <w:t>8</w:t>
            </w:r>
            <w:r>
              <w:rPr>
                <w:rFonts w:ascii="宋体" w:hAnsi="宋体"/>
                <w:szCs w:val="21"/>
              </w:rPr>
              <w:t>分。</w:t>
            </w:r>
          </w:p>
        </w:tc>
        <w:tc>
          <w:tcPr>
            <w:tcW w:w="2269"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szCs w:val="21"/>
              </w:rPr>
            </w:pPr>
            <w:r>
              <w:rPr>
                <w:rFonts w:hint="eastAsia" w:ascii="宋体" w:hAnsi="宋体"/>
                <w:szCs w:val="21"/>
              </w:rPr>
              <w:t>类似业绩指：同品牌同型号设备销售业</w:t>
            </w:r>
            <w:r>
              <w:rPr>
                <w:rFonts w:hint="eastAsia" w:ascii="宋体" w:hAnsi="宋体"/>
                <w:szCs w:val="21"/>
                <w:lang w:val="en-US" w:eastAsia="zh-CN"/>
              </w:rPr>
              <w:t>绩</w:t>
            </w:r>
            <w:r>
              <w:rPr>
                <w:rFonts w:hint="eastAsia" w:ascii="宋体" w:hAnsi="宋体"/>
                <w:szCs w:val="21"/>
              </w:rPr>
              <w:t>。</w:t>
            </w:r>
          </w:p>
          <w:p>
            <w:pPr>
              <w:spacing w:line="0" w:lineRule="atLeast"/>
              <w:jc w:val="left"/>
              <w:rPr>
                <w:rFonts w:ascii="宋体" w:hAnsi="宋体"/>
                <w:szCs w:val="21"/>
              </w:rPr>
            </w:pPr>
            <w:r>
              <w:rPr>
                <w:rFonts w:hint="eastAsia" w:ascii="宋体" w:hAnsi="宋体"/>
                <w:szCs w:val="21"/>
              </w:rPr>
              <w:t>提供合同</w:t>
            </w:r>
            <w:r>
              <w:rPr>
                <w:rFonts w:ascii="宋体" w:hAnsi="宋体"/>
                <w:szCs w:val="21"/>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ascii="宋体" w:hAnsi="宋体"/>
                <w:bCs/>
                <w:szCs w:val="21"/>
              </w:rPr>
              <w:t>4</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售后服务6%</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6</w:t>
            </w:r>
          </w:p>
        </w:tc>
        <w:tc>
          <w:tcPr>
            <w:tcW w:w="2989"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投标人提供完善的服务方案,完全符合招标文件商务要求的得6</w:t>
            </w:r>
            <w:r>
              <w:rPr>
                <w:rFonts w:ascii="宋体" w:hAnsi="宋体"/>
                <w:szCs w:val="21"/>
              </w:rPr>
              <w:t>分；每有一项缺项漏项的扣2分，扣完为止；每有一项阐述不清、描述不明、描述错误得扣1分。</w:t>
            </w:r>
          </w:p>
        </w:tc>
        <w:tc>
          <w:tcPr>
            <w:tcW w:w="22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p>
        </w:tc>
      </w:tr>
    </w:tbl>
    <w:p>
      <w:pPr>
        <w:widowControl/>
        <w:adjustRightInd w:val="0"/>
        <w:snapToGrid w:val="0"/>
        <w:spacing w:line="400" w:lineRule="exact"/>
        <w:ind w:firstLine="482" w:firstLineChars="200"/>
        <w:jc w:val="left"/>
        <w:rPr>
          <w:rFonts w:ascii="Times New Roman" w:hAnsi="Times New Roman"/>
          <w:b/>
          <w:bCs/>
          <w:kern w:val="0"/>
          <w:sz w:val="24"/>
          <w:szCs w:val="20"/>
        </w:rPr>
      </w:pPr>
    </w:p>
    <w:sectPr>
      <w:footerReference r:id="rId3" w:type="default"/>
      <w:pgSz w:w="11906" w:h="16838"/>
      <w:pgMar w:top="12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zODliZDRhNWYxZjI5M2Y0NDNkN2JjZWNjZmQ1ZDQ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5E0929"/>
    <w:rsid w:val="005F21D9"/>
    <w:rsid w:val="0060439E"/>
    <w:rsid w:val="006055D3"/>
    <w:rsid w:val="00667139"/>
    <w:rsid w:val="00711BA3"/>
    <w:rsid w:val="00750ED5"/>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D4DBD"/>
    <w:rsid w:val="00AE2F1C"/>
    <w:rsid w:val="00B316F5"/>
    <w:rsid w:val="00B53FCB"/>
    <w:rsid w:val="00B90E55"/>
    <w:rsid w:val="00BA33DF"/>
    <w:rsid w:val="00C41F0F"/>
    <w:rsid w:val="00C84C99"/>
    <w:rsid w:val="00CA567C"/>
    <w:rsid w:val="00D97302"/>
    <w:rsid w:val="00DD4D9F"/>
    <w:rsid w:val="00F65A99"/>
    <w:rsid w:val="0AFA5A96"/>
    <w:rsid w:val="0CD27FFC"/>
    <w:rsid w:val="0DAC4D70"/>
    <w:rsid w:val="0E114FE2"/>
    <w:rsid w:val="0E677033"/>
    <w:rsid w:val="0E7F1957"/>
    <w:rsid w:val="13491142"/>
    <w:rsid w:val="15304B56"/>
    <w:rsid w:val="17122347"/>
    <w:rsid w:val="1B4D05AA"/>
    <w:rsid w:val="1C281231"/>
    <w:rsid w:val="1F2324A2"/>
    <w:rsid w:val="1FDE786A"/>
    <w:rsid w:val="20A2053B"/>
    <w:rsid w:val="20D54F08"/>
    <w:rsid w:val="20ED7DFF"/>
    <w:rsid w:val="247F6619"/>
    <w:rsid w:val="26463681"/>
    <w:rsid w:val="29A7364C"/>
    <w:rsid w:val="2A092A55"/>
    <w:rsid w:val="2F5D26AF"/>
    <w:rsid w:val="2FB70420"/>
    <w:rsid w:val="30860F73"/>
    <w:rsid w:val="314E571E"/>
    <w:rsid w:val="33D16649"/>
    <w:rsid w:val="352C0BF7"/>
    <w:rsid w:val="35DF103A"/>
    <w:rsid w:val="3609706D"/>
    <w:rsid w:val="39202673"/>
    <w:rsid w:val="3BF758E5"/>
    <w:rsid w:val="3F5D4CBD"/>
    <w:rsid w:val="3FDC7247"/>
    <w:rsid w:val="40F37FB8"/>
    <w:rsid w:val="45317296"/>
    <w:rsid w:val="45BE1E11"/>
    <w:rsid w:val="45C659C4"/>
    <w:rsid w:val="48553641"/>
    <w:rsid w:val="4C2C6594"/>
    <w:rsid w:val="4CF27AAB"/>
    <w:rsid w:val="4ECA6F5D"/>
    <w:rsid w:val="50277BC9"/>
    <w:rsid w:val="506A37E4"/>
    <w:rsid w:val="50D15CF8"/>
    <w:rsid w:val="51066F16"/>
    <w:rsid w:val="51AE40DC"/>
    <w:rsid w:val="53455021"/>
    <w:rsid w:val="56B93C5A"/>
    <w:rsid w:val="578E0FAB"/>
    <w:rsid w:val="58BA1F78"/>
    <w:rsid w:val="5AAD383C"/>
    <w:rsid w:val="5DD8138D"/>
    <w:rsid w:val="5DEF0CB7"/>
    <w:rsid w:val="5EBF7E2B"/>
    <w:rsid w:val="611E7ED2"/>
    <w:rsid w:val="63761542"/>
    <w:rsid w:val="659F01D8"/>
    <w:rsid w:val="68B977C1"/>
    <w:rsid w:val="69E4351C"/>
    <w:rsid w:val="6A4F2F1A"/>
    <w:rsid w:val="6B8A20A2"/>
    <w:rsid w:val="6C320399"/>
    <w:rsid w:val="6C755241"/>
    <w:rsid w:val="6F514ADE"/>
    <w:rsid w:val="6F833AC6"/>
    <w:rsid w:val="6FA74BB9"/>
    <w:rsid w:val="713951B9"/>
    <w:rsid w:val="71593422"/>
    <w:rsid w:val="72B059E8"/>
    <w:rsid w:val="732C647B"/>
    <w:rsid w:val="7A1B6C1E"/>
    <w:rsid w:val="7A351B2A"/>
    <w:rsid w:val="7A755207"/>
    <w:rsid w:val="7AB7598A"/>
    <w:rsid w:val="7BB15350"/>
    <w:rsid w:val="7C3F13C0"/>
    <w:rsid w:val="7C686DA7"/>
    <w:rsid w:val="7D8D4B15"/>
    <w:rsid w:val="7E0D277C"/>
    <w:rsid w:val="7F6A314C"/>
    <w:rsid w:val="7FDF0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pacing w:line="360" w:lineRule="auto"/>
      <w:ind w:firstLine="420"/>
      <w:jc w:val="left"/>
    </w:pPr>
    <w:rPr>
      <w:rFonts w:ascii="宋体" w:hAnsi="宋体"/>
      <w:kern w:val="0"/>
      <w:szCs w:val="20"/>
    </w:rPr>
  </w:style>
  <w:style w:type="paragraph" w:styleId="6">
    <w:name w:val="annotation text"/>
    <w:basedOn w:val="1"/>
    <w:link w:val="56"/>
    <w:qFormat/>
    <w:uiPriority w:val="0"/>
    <w:pPr>
      <w:jc w:val="left"/>
    </w:pPr>
    <w:rPr>
      <w:rFonts w:ascii="Times New Roman" w:hAnsi="Times New Roman"/>
    </w:rPr>
  </w:style>
  <w:style w:type="paragraph" w:styleId="7">
    <w:name w:val="Body Text"/>
    <w:basedOn w:val="1"/>
    <w:link w:val="49"/>
    <w:qFormat/>
    <w:uiPriority w:val="0"/>
    <w:pPr>
      <w:spacing w:after="120"/>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6"/>
    <w:next w:val="6"/>
    <w:link w:val="61"/>
    <w:qFormat/>
    <w:uiPriority w:val="0"/>
    <w:rPr>
      <w:b/>
      <w:bCs/>
    </w:rPr>
  </w:style>
  <w:style w:type="character" w:styleId="23">
    <w:name w:val="Strong"/>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字符"/>
    <w:basedOn w:val="22"/>
    <w:link w:val="2"/>
    <w:qFormat/>
    <w:uiPriority w:val="0"/>
    <w:rPr>
      <w:rFonts w:ascii="Calibri" w:hAnsi="Calibri"/>
      <w:b/>
      <w:bCs/>
      <w:kern w:val="44"/>
      <w:sz w:val="44"/>
      <w:szCs w:val="44"/>
    </w:rPr>
  </w:style>
  <w:style w:type="character" w:customStyle="1" w:styleId="29">
    <w:name w:val="标题 2 字符"/>
    <w:basedOn w:val="22"/>
    <w:link w:val="3"/>
    <w:qFormat/>
    <w:uiPriority w:val="0"/>
    <w:rPr>
      <w:rFonts w:ascii="Arial" w:hAnsi="Arial" w:eastAsia="黑体"/>
      <w:b/>
      <w:bCs/>
      <w:sz w:val="32"/>
      <w:szCs w:val="32"/>
    </w:rPr>
  </w:style>
  <w:style w:type="character" w:customStyle="1" w:styleId="30">
    <w:name w:val="标题 3 字符"/>
    <w:basedOn w:val="22"/>
    <w:link w:val="4"/>
    <w:qFormat/>
    <w:uiPriority w:val="0"/>
    <w:rPr>
      <w:rFonts w:ascii="Calibri" w:hAnsi="Calibri"/>
      <w:b/>
      <w:bCs/>
      <w:kern w:val="2"/>
      <w:sz w:val="32"/>
      <w:szCs w:val="32"/>
    </w:rPr>
  </w:style>
  <w:style w:type="character" w:customStyle="1" w:styleId="31">
    <w:name w:val="批注框文本 Char"/>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qFormat/>
    <w:uiPriority w:val="0"/>
    <w:rPr>
      <w:kern w:val="2"/>
      <w:sz w:val="18"/>
      <w:szCs w:val="18"/>
    </w:rPr>
  </w:style>
  <w:style w:type="character" w:customStyle="1" w:styleId="34">
    <w:name w:val="正文文本缩进 Char"/>
    <w:qFormat/>
    <w:uiPriority w:val="0"/>
    <w:rPr>
      <w:kern w:val="2"/>
      <w:sz w:val="21"/>
      <w:szCs w:val="24"/>
    </w:rPr>
  </w:style>
  <w:style w:type="character" w:customStyle="1" w:styleId="35">
    <w:name w:val="批注主题 Char"/>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qFormat/>
    <w:locked/>
    <w:uiPriority w:val="0"/>
    <w:rPr>
      <w:rFonts w:ascii="宋体" w:hAnsi="Courier New" w:cs="Courier New"/>
      <w:kern w:val="2"/>
      <w:sz w:val="21"/>
      <w:szCs w:val="21"/>
    </w:rPr>
  </w:style>
  <w:style w:type="character" w:customStyle="1" w:styleId="39">
    <w:name w:val="日期 Char"/>
    <w:qFormat/>
    <w:uiPriority w:val="0"/>
    <w:rPr>
      <w:kern w:val="2"/>
      <w:sz w:val="21"/>
      <w:szCs w:val="24"/>
    </w:rPr>
  </w:style>
  <w:style w:type="character" w:customStyle="1" w:styleId="40">
    <w:name w:val="正文文本 Char"/>
    <w:qFormat/>
    <w:uiPriority w:val="0"/>
    <w:rPr>
      <w:kern w:val="2"/>
      <w:sz w:val="21"/>
      <w:szCs w:val="24"/>
    </w:rPr>
  </w:style>
  <w:style w:type="character" w:customStyle="1" w:styleId="41">
    <w:name w:val="标题 Char"/>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qFormat/>
    <w:uiPriority w:val="0"/>
    <w:rPr>
      <w:kern w:val="2"/>
      <w:sz w:val="21"/>
      <w:szCs w:val="24"/>
    </w:rPr>
  </w:style>
  <w:style w:type="character" w:customStyle="1" w:styleId="45">
    <w:name w:val="NormalCharacter"/>
    <w:qFormat/>
    <w:uiPriority w:val="0"/>
  </w:style>
  <w:style w:type="character" w:customStyle="1" w:styleId="46">
    <w:name w:val="页脚 Char"/>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字符"/>
    <w:basedOn w:val="22"/>
    <w:link w:val="7"/>
    <w:qFormat/>
    <w:uiPriority w:val="0"/>
    <w:rPr>
      <w:rFonts w:ascii="Calibri" w:hAnsi="Calibri"/>
      <w:kern w:val="2"/>
      <w:sz w:val="21"/>
      <w:szCs w:val="24"/>
    </w:rPr>
  </w:style>
  <w:style w:type="character" w:customStyle="1" w:styleId="50">
    <w:name w:val="正文文本缩进 字符"/>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字符"/>
    <w:basedOn w:val="22"/>
    <w:link w:val="19"/>
    <w:qFormat/>
    <w:uiPriority w:val="0"/>
    <w:rPr>
      <w:rFonts w:asciiTheme="majorHAnsi" w:hAnsiTheme="majorHAnsi" w:cstheme="majorBidi"/>
      <w:b/>
      <w:bCs/>
      <w:kern w:val="2"/>
      <w:sz w:val="32"/>
      <w:szCs w:val="32"/>
    </w:rPr>
  </w:style>
  <w:style w:type="character" w:customStyle="1" w:styleId="54">
    <w:name w:val="正文文本缩进 2 字符"/>
    <w:basedOn w:val="22"/>
    <w:link w:val="12"/>
    <w:qFormat/>
    <w:uiPriority w:val="0"/>
    <w:rPr>
      <w:rFonts w:ascii="Calibri" w:hAnsi="Calibri"/>
      <w:kern w:val="2"/>
      <w:sz w:val="21"/>
      <w:szCs w:val="24"/>
    </w:rPr>
  </w:style>
  <w:style w:type="character" w:customStyle="1" w:styleId="55">
    <w:name w:val="日期 字符"/>
    <w:basedOn w:val="22"/>
    <w:link w:val="11"/>
    <w:qFormat/>
    <w:uiPriority w:val="0"/>
    <w:rPr>
      <w:rFonts w:ascii="Calibri" w:hAnsi="Calibri"/>
      <w:kern w:val="2"/>
      <w:sz w:val="21"/>
      <w:szCs w:val="24"/>
    </w:rPr>
  </w:style>
  <w:style w:type="character" w:customStyle="1" w:styleId="56">
    <w:name w:val="批注文字 字符"/>
    <w:basedOn w:val="22"/>
    <w:link w:val="6"/>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字符"/>
    <w:basedOn w:val="56"/>
    <w:link w:val="20"/>
    <w:qFormat/>
    <w:uiPriority w:val="0"/>
    <w:rPr>
      <w:rFonts w:ascii="Calibri" w:hAnsi="Calibri"/>
      <w:b/>
      <w:bCs/>
      <w:kern w:val="2"/>
      <w:sz w:val="21"/>
      <w:szCs w:val="24"/>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字符"/>
    <w:basedOn w:val="22"/>
    <w:link w:val="14"/>
    <w:qFormat/>
    <w:uiPriority w:val="0"/>
    <w:rPr>
      <w:rFonts w:ascii="Calibri" w:hAnsi="Calibri"/>
      <w:kern w:val="2"/>
      <w:sz w:val="18"/>
      <w:szCs w:val="18"/>
    </w:rPr>
  </w:style>
  <w:style w:type="character" w:customStyle="1" w:styleId="65">
    <w:name w:val="批注框文本 字符"/>
    <w:basedOn w:val="22"/>
    <w:link w:val="13"/>
    <w:qFormat/>
    <w:uiPriority w:val="0"/>
    <w:rPr>
      <w:rFonts w:ascii="Calibri" w:hAnsi="Calibri"/>
      <w:kern w:val="2"/>
      <w:sz w:val="18"/>
      <w:szCs w:val="18"/>
    </w:rPr>
  </w:style>
  <w:style w:type="character" w:customStyle="1" w:styleId="66">
    <w:name w:val="纯文本 字符"/>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字符"/>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relations xmlns="http://www.yonyou.com/relation"/>
</file>

<file path=customXml/item3.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31EB37-0565-4CF3-9D3C-47B6C5901D15}">
  <ds:schemaRefs/>
</ds:datastoreItem>
</file>

<file path=customXml/itemProps3.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4389</Words>
  <Characters>4542</Characters>
  <Lines>89</Lines>
  <Paragraphs>25</Paragraphs>
  <TotalTime>18</TotalTime>
  <ScaleCrop>false</ScaleCrop>
  <LinksUpToDate>false</LinksUpToDate>
  <CharactersWithSpaces>5153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yang</cp:lastModifiedBy>
  <dcterms:modified xsi:type="dcterms:W3CDTF">2022-10-26T10:23:41Z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BD4D87F3D29F4F2EA6B20F283D178D2E</vt:lpwstr>
  </property>
</Properties>
</file>